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9C6A" w14:textId="77777777" w:rsidR="00B15C60" w:rsidRPr="00B15C60" w:rsidRDefault="00B15C60">
      <w:pPr>
        <w:rPr>
          <w:rFonts w:asciiTheme="majorHAnsi" w:hAnsiTheme="majorHAnsi" w:cstheme="majorHAnsi"/>
          <w:sz w:val="20"/>
          <w:szCs w:val="20"/>
          <w:lang w:val="nl-NL"/>
        </w:rPr>
      </w:pPr>
    </w:p>
    <w:p w14:paraId="74EE027B" w14:textId="23C94BDF" w:rsidR="00B15C60" w:rsidRDefault="00760ACA" w:rsidP="00B15C60">
      <w:pPr>
        <w:pStyle w:val="Geenafstand"/>
        <w:rPr>
          <w:rFonts w:asciiTheme="majorHAnsi" w:hAnsiTheme="majorHAnsi" w:cstheme="majorHAnsi"/>
          <w:lang w:val="nl-NL"/>
        </w:rPr>
      </w:pPr>
      <w:r>
        <w:rPr>
          <w:rFonts w:asciiTheme="majorHAnsi" w:hAnsiTheme="majorHAnsi" w:cstheme="majorHAnsi"/>
          <w:b/>
          <w:bCs/>
          <w:sz w:val="24"/>
          <w:szCs w:val="24"/>
          <w:lang w:val="nl-NL"/>
        </w:rPr>
        <w:t>Inleiding</w:t>
      </w:r>
      <w:r w:rsidR="00765D54" w:rsidRPr="00B15C60">
        <w:rPr>
          <w:rFonts w:asciiTheme="majorHAnsi" w:hAnsiTheme="majorHAnsi" w:cstheme="majorHAnsi"/>
          <w:b/>
          <w:bCs/>
          <w:sz w:val="24"/>
          <w:szCs w:val="24"/>
          <w:lang w:val="nl-NL"/>
        </w:rPr>
        <w:t xml:space="preserve"> – Monitoringskader en richtinggevende context Jaarplan 2026</w:t>
      </w:r>
      <w:r w:rsidR="00765D54" w:rsidRPr="00B15C60">
        <w:rPr>
          <w:rFonts w:asciiTheme="majorHAnsi" w:hAnsiTheme="majorHAnsi" w:cstheme="majorHAnsi"/>
          <w:b/>
          <w:bCs/>
          <w:sz w:val="20"/>
          <w:szCs w:val="20"/>
          <w:lang w:val="nl-NL"/>
        </w:rPr>
        <w:br/>
      </w:r>
      <w:r w:rsidR="00765D54" w:rsidRPr="00B15C60">
        <w:rPr>
          <w:rFonts w:asciiTheme="majorHAnsi" w:hAnsiTheme="majorHAnsi" w:cstheme="majorHAnsi"/>
          <w:b/>
          <w:bCs/>
          <w:sz w:val="20"/>
          <w:szCs w:val="20"/>
          <w:lang w:val="nl-NL"/>
        </w:rPr>
        <w:br/>
      </w:r>
      <w:r w:rsidR="00765D54" w:rsidRPr="00B15C60">
        <w:rPr>
          <w:rFonts w:asciiTheme="majorHAnsi" w:hAnsiTheme="majorHAnsi" w:cstheme="majorHAnsi"/>
          <w:lang w:val="nl-NL"/>
        </w:rPr>
        <w:t xml:space="preserve">Het </w:t>
      </w:r>
      <w:r w:rsidR="00765D54" w:rsidRPr="00B15C60">
        <w:rPr>
          <w:rFonts w:asciiTheme="majorHAnsi" w:hAnsiTheme="majorHAnsi" w:cstheme="majorHAnsi"/>
          <w:b/>
          <w:bCs/>
          <w:lang w:val="nl-NL"/>
        </w:rPr>
        <w:t>Jaarplan 2026 van het SWV PO IJmond</w:t>
      </w:r>
      <w:r w:rsidR="00765D54" w:rsidRPr="00B15C60">
        <w:rPr>
          <w:rFonts w:asciiTheme="majorHAnsi" w:hAnsiTheme="majorHAnsi" w:cstheme="majorHAnsi"/>
          <w:lang w:val="nl-NL"/>
        </w:rPr>
        <w:t xml:space="preserve"> staat in het teken van </w:t>
      </w:r>
      <w:r w:rsidR="00765D54" w:rsidRPr="00B15C60">
        <w:rPr>
          <w:rFonts w:asciiTheme="majorHAnsi" w:hAnsiTheme="majorHAnsi" w:cstheme="majorHAnsi"/>
          <w:b/>
          <w:bCs/>
          <w:lang w:val="nl-NL"/>
        </w:rPr>
        <w:t>samenhang, beweging en versterking</w:t>
      </w:r>
      <w:r w:rsidR="00765D54" w:rsidRPr="00B15C60">
        <w:rPr>
          <w:rFonts w:asciiTheme="majorHAnsi" w:hAnsiTheme="majorHAnsi" w:cstheme="majorHAnsi"/>
          <w:lang w:val="nl-NL"/>
        </w:rPr>
        <w:t xml:space="preserve">. Het vormt de concrete vertaling van het </w:t>
      </w:r>
      <w:r w:rsidR="00765D54" w:rsidRPr="00B15C60">
        <w:rPr>
          <w:rFonts w:asciiTheme="majorHAnsi" w:hAnsiTheme="majorHAnsi" w:cstheme="majorHAnsi"/>
          <w:b/>
          <w:bCs/>
          <w:lang w:val="nl-NL"/>
        </w:rPr>
        <w:t>Ondersteuningsplan 2024–2028 (Samen Sterk!)</w:t>
      </w:r>
      <w:r w:rsidR="00765D54" w:rsidRPr="00B15C60">
        <w:rPr>
          <w:rFonts w:asciiTheme="majorHAnsi" w:hAnsiTheme="majorHAnsi" w:cstheme="majorHAnsi"/>
          <w:lang w:val="nl-NL"/>
        </w:rPr>
        <w:t xml:space="preserve">, waarin we de basis voor een inclusieve regio verder uitbouwen. </w:t>
      </w:r>
    </w:p>
    <w:p w14:paraId="62529A6F" w14:textId="593F8569" w:rsidR="00B15C60" w:rsidRPr="00B15C60" w:rsidRDefault="00765D54" w:rsidP="00B15C60">
      <w:pPr>
        <w:pStyle w:val="Geenafstand"/>
        <w:rPr>
          <w:rFonts w:asciiTheme="majorHAnsi" w:hAnsiTheme="majorHAnsi" w:cstheme="majorHAnsi"/>
          <w:lang w:val="nl-NL"/>
        </w:rPr>
      </w:pPr>
      <w:r w:rsidRPr="00B15C60">
        <w:rPr>
          <w:rFonts w:asciiTheme="majorHAnsi" w:hAnsiTheme="majorHAnsi" w:cstheme="majorHAnsi"/>
          <w:lang w:val="nl-NL"/>
        </w:rPr>
        <w:t xml:space="preserve">In 2026 worden drie lijnen nadrukkelijk met elkaar verbonden: </w:t>
      </w:r>
    </w:p>
    <w:p w14:paraId="19781769" w14:textId="77777777" w:rsidR="00B15C60" w:rsidRDefault="00765D54" w:rsidP="00B15C60">
      <w:pPr>
        <w:pStyle w:val="Geenafstand"/>
        <w:numPr>
          <w:ilvl w:val="0"/>
          <w:numId w:val="10"/>
        </w:numPr>
        <w:rPr>
          <w:rFonts w:asciiTheme="majorHAnsi" w:hAnsiTheme="majorHAnsi" w:cstheme="majorHAnsi"/>
          <w:lang w:val="nl-NL"/>
        </w:rPr>
      </w:pPr>
      <w:proofErr w:type="gramStart"/>
      <w:r w:rsidRPr="00B15C60">
        <w:rPr>
          <w:rFonts w:asciiTheme="majorHAnsi" w:hAnsiTheme="majorHAnsi" w:cstheme="majorHAnsi"/>
          <w:lang w:val="nl-NL"/>
        </w:rPr>
        <w:t>het</w:t>
      </w:r>
      <w:proofErr w:type="gramEnd"/>
      <w:r w:rsidRPr="00B15C60">
        <w:rPr>
          <w:rFonts w:asciiTheme="majorHAnsi" w:hAnsiTheme="majorHAnsi" w:cstheme="majorHAnsi"/>
          <w:lang w:val="nl-NL"/>
        </w:rPr>
        <w:t xml:space="preserve"> ontwikkelen van sterk vakmanschap in de scholen</w:t>
      </w:r>
    </w:p>
    <w:p w14:paraId="6ADFC953" w14:textId="77777777" w:rsidR="00B15C60" w:rsidRDefault="00765D54" w:rsidP="00B15C60">
      <w:pPr>
        <w:pStyle w:val="Geenafstand"/>
        <w:numPr>
          <w:ilvl w:val="0"/>
          <w:numId w:val="10"/>
        </w:numPr>
        <w:rPr>
          <w:rFonts w:asciiTheme="majorHAnsi" w:hAnsiTheme="majorHAnsi" w:cstheme="majorHAnsi"/>
          <w:lang w:val="nl-NL"/>
        </w:rPr>
      </w:pPr>
      <w:proofErr w:type="gramStart"/>
      <w:r w:rsidRPr="00B15C60">
        <w:rPr>
          <w:rFonts w:asciiTheme="majorHAnsi" w:hAnsiTheme="majorHAnsi" w:cstheme="majorHAnsi"/>
          <w:lang w:val="nl-NL"/>
        </w:rPr>
        <w:t>het</w:t>
      </w:r>
      <w:proofErr w:type="gramEnd"/>
      <w:r w:rsidRPr="00B15C60">
        <w:rPr>
          <w:rFonts w:asciiTheme="majorHAnsi" w:hAnsiTheme="majorHAnsi" w:cstheme="majorHAnsi"/>
          <w:lang w:val="nl-NL"/>
        </w:rPr>
        <w:t xml:space="preserve"> versterken van het regionale netwerk rondom het kind</w:t>
      </w:r>
    </w:p>
    <w:p w14:paraId="0C4F11AA" w14:textId="77777777" w:rsidR="00B15C60" w:rsidRDefault="00765D54" w:rsidP="00B15C60">
      <w:pPr>
        <w:pStyle w:val="Geenafstand"/>
        <w:numPr>
          <w:ilvl w:val="0"/>
          <w:numId w:val="10"/>
        </w:numPr>
        <w:rPr>
          <w:rFonts w:asciiTheme="majorHAnsi" w:hAnsiTheme="majorHAnsi" w:cstheme="majorHAnsi"/>
          <w:lang w:val="nl-NL"/>
        </w:rPr>
      </w:pPr>
      <w:proofErr w:type="gramStart"/>
      <w:r w:rsidRPr="00B15C60">
        <w:rPr>
          <w:rFonts w:asciiTheme="majorHAnsi" w:hAnsiTheme="majorHAnsi" w:cstheme="majorHAnsi"/>
          <w:lang w:val="nl-NL"/>
        </w:rPr>
        <w:t>het</w:t>
      </w:r>
      <w:proofErr w:type="gramEnd"/>
      <w:r w:rsidRPr="00B15C60">
        <w:rPr>
          <w:rFonts w:asciiTheme="majorHAnsi" w:hAnsiTheme="majorHAnsi" w:cstheme="majorHAnsi"/>
          <w:lang w:val="nl-NL"/>
        </w:rPr>
        <w:t xml:space="preserve"> toekomstbestendig maken van onze ondersteuningsroute. </w:t>
      </w:r>
    </w:p>
    <w:p w14:paraId="3753FF6E" w14:textId="77777777" w:rsidR="00067A4F" w:rsidRDefault="00765D54" w:rsidP="00B15C60">
      <w:pPr>
        <w:pStyle w:val="Geenafstand"/>
        <w:rPr>
          <w:rFonts w:asciiTheme="majorHAnsi" w:hAnsiTheme="majorHAnsi" w:cstheme="majorHAnsi"/>
          <w:lang w:val="nl-NL"/>
        </w:rPr>
      </w:pPr>
      <w:r w:rsidRPr="00B15C60">
        <w:rPr>
          <w:rFonts w:asciiTheme="majorHAnsi" w:hAnsiTheme="majorHAnsi" w:cstheme="majorHAnsi"/>
          <w:lang w:val="nl-NL"/>
        </w:rPr>
        <w:t>Deze drie ambities staan niet op zichzelf,</w:t>
      </w:r>
      <w:r w:rsidR="00B15C60">
        <w:rPr>
          <w:rFonts w:asciiTheme="majorHAnsi" w:hAnsiTheme="majorHAnsi" w:cstheme="majorHAnsi"/>
          <w:lang w:val="nl-NL"/>
        </w:rPr>
        <w:t xml:space="preserve"> ze</w:t>
      </w:r>
      <w:r w:rsidRPr="00B15C60">
        <w:rPr>
          <w:rFonts w:asciiTheme="majorHAnsi" w:hAnsiTheme="majorHAnsi" w:cstheme="majorHAnsi"/>
          <w:lang w:val="nl-NL"/>
        </w:rPr>
        <w:t xml:space="preserve"> vormen gezamenlijk de bouwstenen voor onze lange-termijn ambitie: </w:t>
      </w:r>
      <w:r w:rsidRPr="00B15C60">
        <w:rPr>
          <w:rFonts w:asciiTheme="majorHAnsi" w:hAnsiTheme="majorHAnsi" w:cstheme="majorHAnsi"/>
          <w:b/>
          <w:bCs/>
          <w:lang w:val="nl-NL"/>
        </w:rPr>
        <w:t>inclusief onderwijs in 2035</w:t>
      </w:r>
      <w:r w:rsidRPr="00B15C60">
        <w:rPr>
          <w:rFonts w:asciiTheme="majorHAnsi" w:hAnsiTheme="majorHAnsi" w:cstheme="majorHAnsi"/>
          <w:lang w:val="nl-NL"/>
        </w:rPr>
        <w:t>.</w:t>
      </w:r>
      <w:r w:rsidRPr="00B15C60">
        <w:rPr>
          <w:rFonts w:asciiTheme="majorHAnsi" w:hAnsiTheme="majorHAnsi" w:cstheme="majorHAnsi"/>
          <w:lang w:val="nl-NL"/>
        </w:rPr>
        <w:br/>
      </w:r>
      <w:r w:rsidRPr="00B15C60">
        <w:rPr>
          <w:rFonts w:asciiTheme="majorHAnsi" w:hAnsiTheme="majorHAnsi" w:cstheme="majorHAnsi"/>
          <w:lang w:val="nl-NL"/>
        </w:rPr>
        <w:br/>
      </w:r>
      <w:r w:rsidRPr="00B15C60">
        <w:rPr>
          <w:rFonts w:asciiTheme="majorHAnsi" w:hAnsiTheme="majorHAnsi" w:cstheme="majorHAnsi"/>
          <w:b/>
          <w:bCs/>
          <w:lang w:val="nl-NL"/>
        </w:rPr>
        <w:t>Inclusie 2035</w:t>
      </w:r>
      <w:r w:rsidRPr="00B15C60">
        <w:rPr>
          <w:rFonts w:asciiTheme="majorHAnsi" w:hAnsiTheme="majorHAnsi" w:cstheme="majorHAnsi"/>
          <w:lang w:val="nl-NL"/>
        </w:rPr>
        <w:t xml:space="preserve"> betekent dat kinderen zoveel mogelijk binnen het regulier onderwijs worden opgevangen met passende ondersteuning, dichtbij huis en binnen hun eigen sociale netwerken. Dit impliceert een fundamentele verschuiving van zorg en ondersteuning: van zwaar en individueel naar vroegtijdig, licht en preventief; van losse interventies naar samenhangende ondersteuning binnen de school en de kern; van afhankelijkheid van gespecialiseerde instellingen naar het versterken van het gewone onderwijs. Deze ontwikkeling vraagt om sterke professionals, krachtige samenwerkingsstructuren en een robuuste ondersteuningsroute die het leren en opgroeien van kinderen optimaal ondersteunt.</w:t>
      </w:r>
      <w:r w:rsidRPr="00B15C60">
        <w:rPr>
          <w:rFonts w:asciiTheme="majorHAnsi" w:hAnsiTheme="majorHAnsi" w:cstheme="majorHAnsi"/>
          <w:lang w:val="nl-NL"/>
        </w:rPr>
        <w:br/>
      </w:r>
      <w:r w:rsidRPr="00B15C60">
        <w:rPr>
          <w:rFonts w:asciiTheme="majorHAnsi" w:hAnsiTheme="majorHAnsi" w:cstheme="majorHAnsi"/>
          <w:lang w:val="nl-NL"/>
        </w:rPr>
        <w:br/>
        <w:t>Het jaar 2026 markeert een kantelpunt in deze beweging. Voor het eerst wordt zichtbaar dat de daling in SO/SBO-verwijzingen structurele ruimte creëert voor scholen om te investeren in hun eigen ondersteuningskracht. Tegelijkertijd vragen de maatschappelijke ontwikkelingen – waaronder de toename van complexe ondersteuningsvragen, druk op jeugdhulp en lerarentekorten – om duidelijke afspraken, meer regionale samenwerking en gedeeld eigenaarschap. Het jaarplan 2026 brengt deze ontwikkelingen bij elkaar en maakt de richting zichtbaar waarin we met elkaar bewegen.</w:t>
      </w:r>
      <w:r w:rsidRPr="00B15C60">
        <w:rPr>
          <w:rFonts w:asciiTheme="majorHAnsi" w:hAnsiTheme="majorHAnsi" w:cstheme="majorHAnsi"/>
          <w:lang w:val="nl-NL"/>
        </w:rPr>
        <w:br/>
      </w:r>
      <w:r w:rsidRPr="00B15C60">
        <w:rPr>
          <w:rFonts w:asciiTheme="majorHAnsi" w:hAnsiTheme="majorHAnsi" w:cstheme="majorHAnsi"/>
          <w:lang w:val="nl-NL"/>
        </w:rPr>
        <w:br/>
      </w:r>
      <w:r w:rsidRPr="00B15C60">
        <w:rPr>
          <w:rFonts w:asciiTheme="majorHAnsi" w:hAnsiTheme="majorHAnsi" w:cstheme="majorHAnsi"/>
          <w:b/>
          <w:bCs/>
          <w:lang w:val="nl-NL"/>
        </w:rPr>
        <w:t>Monitoring en kwaliteitsverbetering</w:t>
      </w:r>
      <w:r w:rsidRPr="00B15C60">
        <w:rPr>
          <w:rFonts w:asciiTheme="majorHAnsi" w:hAnsiTheme="majorHAnsi" w:cstheme="majorHAnsi"/>
          <w:lang w:val="nl-NL"/>
        </w:rPr>
        <w:t xml:space="preserve"> staan centraal in dit jaarplan. We volgen niet alleen de mate waarin we de geplande activiteiten uitvoeren, maar vooral wat deze activiteiten opleveren voor professionals, leerlingen en het onderwijsnetwerk. Hierbij hanteren we drie kwaliteitsdimensies:</w:t>
      </w:r>
      <w:r w:rsidRPr="00B15C60">
        <w:rPr>
          <w:rFonts w:asciiTheme="majorHAnsi" w:hAnsiTheme="majorHAnsi" w:cstheme="majorHAnsi"/>
          <w:lang w:val="nl-NL"/>
        </w:rPr>
        <w:br/>
      </w:r>
      <w:r w:rsidRPr="00B15C60">
        <w:rPr>
          <w:rFonts w:asciiTheme="majorHAnsi" w:hAnsiTheme="majorHAnsi" w:cstheme="majorHAnsi"/>
          <w:b/>
          <w:bCs/>
          <w:lang w:val="nl-NL"/>
        </w:rPr>
        <w:t>1. Inhoudelijke kwaliteit:</w:t>
      </w:r>
      <w:r w:rsidRPr="00B15C60">
        <w:rPr>
          <w:rFonts w:asciiTheme="majorHAnsi" w:hAnsiTheme="majorHAnsi" w:cstheme="majorHAnsi"/>
          <w:lang w:val="nl-NL"/>
        </w:rPr>
        <w:t xml:space="preserve"> werken we met de juiste interventies, passend bij onze visie op inclusie en het handelingsgericht werken?</w:t>
      </w:r>
      <w:r w:rsidRPr="00B15C60">
        <w:rPr>
          <w:rFonts w:asciiTheme="majorHAnsi" w:hAnsiTheme="majorHAnsi" w:cstheme="majorHAnsi"/>
          <w:lang w:val="nl-NL"/>
        </w:rPr>
        <w:br/>
      </w:r>
      <w:r w:rsidRPr="00B15C60">
        <w:rPr>
          <w:rFonts w:asciiTheme="majorHAnsi" w:hAnsiTheme="majorHAnsi" w:cstheme="majorHAnsi"/>
          <w:b/>
          <w:bCs/>
          <w:lang w:val="nl-NL"/>
        </w:rPr>
        <w:t>2. Proceskwaliteit:</w:t>
      </w:r>
      <w:r w:rsidRPr="00B15C60">
        <w:rPr>
          <w:rFonts w:asciiTheme="majorHAnsi" w:hAnsiTheme="majorHAnsi" w:cstheme="majorHAnsi"/>
          <w:lang w:val="nl-NL"/>
        </w:rPr>
        <w:t xml:space="preserve"> voeren we onze aanpak zorgvuldig, planmatig en in samenwerking uit en kunnen professionals, partners en ouders vertrouwen op onze werkwijze?</w:t>
      </w:r>
      <w:r w:rsidRPr="00B15C60">
        <w:rPr>
          <w:rFonts w:asciiTheme="majorHAnsi" w:hAnsiTheme="majorHAnsi" w:cstheme="majorHAnsi"/>
          <w:lang w:val="nl-NL"/>
        </w:rPr>
        <w:br/>
      </w:r>
      <w:r w:rsidRPr="00B15C60">
        <w:rPr>
          <w:rFonts w:asciiTheme="majorHAnsi" w:hAnsiTheme="majorHAnsi" w:cstheme="majorHAnsi"/>
          <w:b/>
          <w:bCs/>
          <w:lang w:val="nl-NL"/>
        </w:rPr>
        <w:t>3. Impactkwaliteit:</w:t>
      </w:r>
      <w:r w:rsidRPr="00B15C60">
        <w:rPr>
          <w:rFonts w:asciiTheme="majorHAnsi" w:hAnsiTheme="majorHAnsi" w:cstheme="majorHAnsi"/>
          <w:lang w:val="nl-NL"/>
        </w:rPr>
        <w:t xml:space="preserve"> zien we daadwerkelijk verbetering in professionaliteit, samenwerking, ondersteuning en </w:t>
      </w:r>
      <w:r w:rsidR="00B15C60" w:rsidRPr="00B15C60">
        <w:rPr>
          <w:rFonts w:asciiTheme="majorHAnsi" w:hAnsiTheme="majorHAnsi" w:cstheme="majorHAnsi"/>
          <w:lang w:val="nl-NL"/>
        </w:rPr>
        <w:t>leerling resultaten</w:t>
      </w:r>
      <w:r w:rsidRPr="00B15C60">
        <w:rPr>
          <w:rFonts w:asciiTheme="majorHAnsi" w:hAnsiTheme="majorHAnsi" w:cstheme="majorHAnsi"/>
          <w:lang w:val="nl-NL"/>
        </w:rPr>
        <w:t xml:space="preserve"> – en dragen deze verbeteringen bij aan de inclusieve beweging richting 2035?</w:t>
      </w:r>
      <w:r w:rsidRPr="00B15C60">
        <w:rPr>
          <w:rFonts w:asciiTheme="majorHAnsi" w:hAnsiTheme="majorHAnsi" w:cstheme="majorHAnsi"/>
          <w:lang w:val="nl-NL"/>
        </w:rPr>
        <w:br/>
      </w:r>
      <w:r w:rsidRPr="00B15C60">
        <w:rPr>
          <w:rFonts w:asciiTheme="majorHAnsi" w:hAnsiTheme="majorHAnsi" w:cstheme="majorHAnsi"/>
          <w:lang w:val="nl-NL"/>
        </w:rPr>
        <w:br/>
      </w:r>
    </w:p>
    <w:p w14:paraId="043A6710" w14:textId="77777777" w:rsidR="00067A4F" w:rsidRDefault="00067A4F" w:rsidP="00B15C60">
      <w:pPr>
        <w:pStyle w:val="Geenafstand"/>
        <w:rPr>
          <w:rFonts w:asciiTheme="majorHAnsi" w:hAnsiTheme="majorHAnsi" w:cstheme="majorHAnsi"/>
          <w:lang w:val="nl-NL"/>
        </w:rPr>
      </w:pPr>
    </w:p>
    <w:p w14:paraId="769757E5" w14:textId="77777777" w:rsidR="00067A4F" w:rsidRDefault="00067A4F" w:rsidP="00B15C60">
      <w:pPr>
        <w:pStyle w:val="Geenafstand"/>
        <w:rPr>
          <w:rFonts w:asciiTheme="majorHAnsi" w:hAnsiTheme="majorHAnsi" w:cstheme="majorHAnsi"/>
          <w:lang w:val="nl-NL"/>
        </w:rPr>
      </w:pPr>
    </w:p>
    <w:p w14:paraId="3E561A90" w14:textId="4F9086FC" w:rsidR="00D53688" w:rsidRPr="00B15C60" w:rsidRDefault="00765D54" w:rsidP="00B15C60">
      <w:pPr>
        <w:pStyle w:val="Geenafstand"/>
        <w:rPr>
          <w:rFonts w:asciiTheme="majorHAnsi" w:hAnsiTheme="majorHAnsi" w:cstheme="majorHAnsi"/>
          <w:lang w:val="nl-NL"/>
        </w:rPr>
      </w:pPr>
      <w:r w:rsidRPr="00B15C60">
        <w:rPr>
          <w:rFonts w:asciiTheme="majorHAnsi" w:hAnsiTheme="majorHAnsi" w:cstheme="majorHAnsi"/>
          <w:lang w:val="nl-NL"/>
        </w:rPr>
        <w:t>De monitoring in 2026 vindt plaats via de bestaande kwaliteitsinstrumenten: POS (zowel school- als kernniveau), MARAP (3x per jaar), de TLV-monitor, de voorzieningenevaluaties, de kernplannen en het jaarverslag. Deze instrumenten geven samen zicht op de voortgang, trends, risico’s en kansen, zodat we gedurende het jaar kunnen bijsturen en doelgericht kunnen werken aan het realiseren van de ambities.</w:t>
      </w:r>
      <w:r w:rsidRPr="00B15C60">
        <w:rPr>
          <w:rFonts w:asciiTheme="majorHAnsi" w:hAnsiTheme="majorHAnsi" w:cstheme="majorHAnsi"/>
          <w:lang w:val="nl-NL"/>
        </w:rPr>
        <w:br/>
      </w:r>
      <w:r w:rsidRPr="00B15C60">
        <w:rPr>
          <w:rFonts w:asciiTheme="majorHAnsi" w:hAnsiTheme="majorHAnsi" w:cstheme="majorHAnsi"/>
          <w:lang w:val="nl-NL"/>
        </w:rPr>
        <w:br/>
        <w:t>Het jaarplan 2026 benadrukt dat inclusie geen eindpunt maar een proces is. De beweging naar 2035 vraagt dat scholen, besturen, gemeenten, jeugdhulp en ouders samen werken vanuit gedeelde waarden en gedeelde verantwoordelijkheid. In dit jaarplan wordt daarom sterker dan voorheen gestuurd op de integratie van onderwijs en jeugdhulp binnen de kernen, op duurzame professionalisering, op het verbeteren van de basisondersteuning in alle scholen en op een toekomstgerichte inzet van middelen. Ook is er expliciete aandacht voor de evaluatie en doorontwikkeling van voorzieningen en arrangementen, zodat het ondersteuningsaanbod structureel aansluit op de behoefte van scholen en leerlingen.</w:t>
      </w:r>
      <w:r w:rsidRPr="00B15C60">
        <w:rPr>
          <w:rFonts w:asciiTheme="majorHAnsi" w:hAnsiTheme="majorHAnsi" w:cstheme="majorHAnsi"/>
          <w:lang w:val="nl-NL"/>
        </w:rPr>
        <w:br/>
      </w:r>
      <w:r w:rsidRPr="00B15C60">
        <w:rPr>
          <w:rFonts w:asciiTheme="majorHAnsi" w:hAnsiTheme="majorHAnsi" w:cstheme="majorHAnsi"/>
          <w:lang w:val="nl-NL"/>
        </w:rPr>
        <w:br/>
        <w:t xml:space="preserve">Met dit jaarplan zetten we een belangrijke stap in het realiseren van een krachtige regionale ondersteuningsstructuur waarin elk kind – ongeacht zijn of haar ondersteuningsbehoefte – kan meedoen, zich kan ontwikkelen en kan groeien. Het jaarplan is daarmee niet alleen een werkdocument, maar ook een richtinggevend kader voor samenwerking, kwaliteitsverbetering en toekomstbestendige ontwikkeling binnen de gehele </w:t>
      </w:r>
      <w:r w:rsidR="00760ACA">
        <w:rPr>
          <w:rFonts w:asciiTheme="majorHAnsi" w:hAnsiTheme="majorHAnsi" w:cstheme="majorHAnsi"/>
          <w:lang w:val="nl-NL"/>
        </w:rPr>
        <w:t>regio IJmond</w:t>
      </w:r>
      <w:r w:rsidRPr="00B15C60">
        <w:rPr>
          <w:rFonts w:asciiTheme="majorHAnsi" w:hAnsiTheme="majorHAnsi" w:cstheme="majorHAnsi"/>
          <w:lang w:val="nl-NL"/>
        </w:rPr>
        <w:t>.</w:t>
      </w:r>
    </w:p>
    <w:p w14:paraId="6115693C" w14:textId="77777777" w:rsidR="00067A4F" w:rsidRDefault="00067A4F">
      <w:pPr>
        <w:rPr>
          <w:rFonts w:asciiTheme="majorHAnsi" w:eastAsiaTheme="majorEastAsia" w:hAnsiTheme="majorHAnsi" w:cstheme="majorHAnsi"/>
          <w:b/>
          <w:bCs/>
          <w:sz w:val="24"/>
          <w:szCs w:val="24"/>
          <w:lang w:val="nl-NL"/>
        </w:rPr>
      </w:pPr>
      <w:r>
        <w:rPr>
          <w:rFonts w:cstheme="majorHAnsi"/>
          <w:sz w:val="24"/>
          <w:szCs w:val="24"/>
          <w:lang w:val="nl-NL"/>
        </w:rPr>
        <w:br w:type="page"/>
      </w:r>
    </w:p>
    <w:p w14:paraId="10C2BA56" w14:textId="77777777" w:rsidR="00067A4F" w:rsidRDefault="00067A4F">
      <w:pPr>
        <w:pStyle w:val="Kop1"/>
        <w:rPr>
          <w:rFonts w:cstheme="majorHAnsi"/>
          <w:color w:val="auto"/>
          <w:sz w:val="24"/>
          <w:szCs w:val="24"/>
          <w:lang w:val="nl-NL"/>
        </w:rPr>
      </w:pPr>
    </w:p>
    <w:p w14:paraId="6AA68FA0" w14:textId="0D73063B" w:rsidR="001163DA" w:rsidRPr="00760ACA" w:rsidRDefault="00170A6C">
      <w:pPr>
        <w:pStyle w:val="Kop1"/>
        <w:rPr>
          <w:rFonts w:cstheme="majorHAnsi"/>
          <w:color w:val="auto"/>
          <w:sz w:val="24"/>
          <w:szCs w:val="24"/>
          <w:lang w:val="nl-NL"/>
        </w:rPr>
      </w:pPr>
      <w:r w:rsidRPr="00760ACA">
        <w:rPr>
          <w:rFonts w:cstheme="majorHAnsi"/>
          <w:color w:val="auto"/>
          <w:sz w:val="24"/>
          <w:szCs w:val="24"/>
          <w:lang w:val="nl-NL"/>
        </w:rPr>
        <w:t>Jaarplan</w:t>
      </w:r>
      <w:r w:rsidR="00457D49" w:rsidRPr="00760ACA">
        <w:rPr>
          <w:rFonts w:cstheme="majorHAnsi"/>
          <w:color w:val="auto"/>
          <w:sz w:val="24"/>
          <w:szCs w:val="24"/>
          <w:lang w:val="nl-NL"/>
        </w:rPr>
        <w:t xml:space="preserve"> 2026</w:t>
      </w:r>
    </w:p>
    <w:p w14:paraId="12E0E6A9" w14:textId="77777777" w:rsidR="001163DA" w:rsidRPr="00B15C60" w:rsidRDefault="00170A6C">
      <w:pPr>
        <w:rPr>
          <w:rFonts w:asciiTheme="majorHAnsi" w:hAnsiTheme="majorHAnsi" w:cstheme="majorHAnsi"/>
          <w:lang w:val="nl-NL"/>
        </w:rPr>
      </w:pPr>
      <w:r w:rsidRPr="00B15C60">
        <w:rPr>
          <w:rFonts w:asciiTheme="majorHAnsi" w:hAnsiTheme="majorHAnsi" w:cstheme="majorHAnsi"/>
          <w:lang w:val="nl-NL"/>
        </w:rPr>
        <w:t>Dit jaarplan 2026 verbindt de drie ambities van het SWV PO IJmond met de regionale agenda onderwijs–jeugdhulp, de begroting 2026 en de kwaliteitscyclus (POS, MARAP, jaarverslag). Per ambitie zijn doelen, resultaten, indicatoren, meetmomenten, instrumenten en verbinders uitgewerkt zodat inhoud, financiën en governance in één document samenkomen.</w:t>
      </w:r>
    </w:p>
    <w:p w14:paraId="58FDACB2" w14:textId="77777777" w:rsidR="001163DA" w:rsidRPr="00760ACA" w:rsidRDefault="00170A6C">
      <w:pPr>
        <w:pStyle w:val="Kop2"/>
        <w:rPr>
          <w:rFonts w:cstheme="majorHAnsi"/>
          <w:color w:val="auto"/>
          <w:sz w:val="22"/>
          <w:szCs w:val="22"/>
          <w:lang w:val="nl-NL"/>
        </w:rPr>
      </w:pPr>
      <w:r w:rsidRPr="00760ACA">
        <w:rPr>
          <w:rFonts w:cstheme="majorHAnsi"/>
          <w:color w:val="auto"/>
          <w:sz w:val="22"/>
          <w:szCs w:val="22"/>
          <w:lang w:val="nl-NL"/>
        </w:rPr>
        <w:t>Ambitie 1 – Sterke professionals</w:t>
      </w:r>
    </w:p>
    <w:p w14:paraId="21060B41" w14:textId="024ABB49" w:rsidR="00760ACA" w:rsidRPr="00B15C60" w:rsidRDefault="00760ACA">
      <w:pPr>
        <w:rPr>
          <w:rFonts w:asciiTheme="majorHAnsi" w:hAnsiTheme="majorHAnsi" w:cstheme="majorHAnsi"/>
          <w:lang w:val="nl-NL"/>
        </w:rPr>
      </w:pPr>
      <w:r>
        <w:rPr>
          <w:rFonts w:asciiTheme="majorHAnsi" w:hAnsiTheme="majorHAnsi" w:cstheme="majorHAnsi"/>
          <w:lang w:val="nl-NL"/>
        </w:rPr>
        <w:t>E</w:t>
      </w:r>
      <w:r w:rsidR="00170A6C" w:rsidRPr="00B15C60">
        <w:rPr>
          <w:rFonts w:asciiTheme="majorHAnsi" w:hAnsiTheme="majorHAnsi" w:cstheme="majorHAnsi"/>
          <w:lang w:val="nl-NL"/>
        </w:rPr>
        <w:t>en passend en preventief pedagogisch-didactisch aanbod in elke groep, gedragen door professionals met een inclusieve mindset en handelingsgerichte aanpak.</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544"/>
        <w:gridCol w:w="2268"/>
        <w:gridCol w:w="1984"/>
        <w:gridCol w:w="2127"/>
        <w:gridCol w:w="1701"/>
      </w:tblGrid>
      <w:tr w:rsidR="00760ACA" w:rsidRPr="00760ACA" w14:paraId="52A0BA79" w14:textId="77777777" w:rsidTr="00067A4F">
        <w:tc>
          <w:tcPr>
            <w:tcW w:w="2410" w:type="dxa"/>
          </w:tcPr>
          <w:p w14:paraId="54AF9C32" w14:textId="77777777" w:rsidR="001163DA" w:rsidRPr="00760ACA" w:rsidRDefault="00170A6C">
            <w:pPr>
              <w:rPr>
                <w:rFonts w:asciiTheme="majorHAnsi" w:hAnsiTheme="majorHAnsi" w:cstheme="majorHAnsi"/>
                <w:b/>
                <w:bCs/>
                <w:lang w:val="nl-NL"/>
              </w:rPr>
            </w:pPr>
            <w:r w:rsidRPr="00760ACA">
              <w:rPr>
                <w:rFonts w:asciiTheme="majorHAnsi" w:hAnsiTheme="majorHAnsi" w:cstheme="majorHAnsi"/>
                <w:b/>
                <w:bCs/>
                <w:lang w:val="nl-NL"/>
              </w:rPr>
              <w:t>Doel</w:t>
            </w:r>
          </w:p>
        </w:tc>
        <w:tc>
          <w:tcPr>
            <w:tcW w:w="3544" w:type="dxa"/>
          </w:tcPr>
          <w:p w14:paraId="7007FC6F" w14:textId="77777777" w:rsidR="001163DA" w:rsidRPr="00760ACA" w:rsidRDefault="00170A6C">
            <w:pPr>
              <w:rPr>
                <w:rFonts w:asciiTheme="majorHAnsi" w:hAnsiTheme="majorHAnsi" w:cstheme="majorHAnsi"/>
                <w:b/>
                <w:bCs/>
                <w:lang w:val="nl-NL"/>
              </w:rPr>
            </w:pPr>
            <w:r w:rsidRPr="00760ACA">
              <w:rPr>
                <w:rFonts w:asciiTheme="majorHAnsi" w:hAnsiTheme="majorHAnsi" w:cstheme="majorHAnsi"/>
                <w:b/>
                <w:bCs/>
                <w:lang w:val="nl-NL"/>
              </w:rPr>
              <w:t>Resultaat 2026</w:t>
            </w:r>
          </w:p>
        </w:tc>
        <w:tc>
          <w:tcPr>
            <w:tcW w:w="2268" w:type="dxa"/>
          </w:tcPr>
          <w:p w14:paraId="7D6C1918" w14:textId="77777777" w:rsidR="001163DA" w:rsidRPr="00760ACA" w:rsidRDefault="00170A6C">
            <w:pPr>
              <w:rPr>
                <w:rFonts w:asciiTheme="majorHAnsi" w:hAnsiTheme="majorHAnsi" w:cstheme="majorHAnsi"/>
                <w:b/>
                <w:bCs/>
                <w:lang w:val="nl-NL"/>
              </w:rPr>
            </w:pPr>
            <w:r w:rsidRPr="00760ACA">
              <w:rPr>
                <w:rFonts w:asciiTheme="majorHAnsi" w:hAnsiTheme="majorHAnsi" w:cstheme="majorHAnsi"/>
                <w:b/>
                <w:bCs/>
                <w:lang w:val="nl-NL"/>
              </w:rPr>
              <w:t>Indicator(en)</w:t>
            </w:r>
          </w:p>
        </w:tc>
        <w:tc>
          <w:tcPr>
            <w:tcW w:w="1984" w:type="dxa"/>
          </w:tcPr>
          <w:p w14:paraId="370BA7C7" w14:textId="77777777" w:rsidR="001163DA" w:rsidRPr="00760ACA" w:rsidRDefault="00170A6C">
            <w:pPr>
              <w:rPr>
                <w:rFonts w:asciiTheme="majorHAnsi" w:hAnsiTheme="majorHAnsi" w:cstheme="majorHAnsi"/>
                <w:b/>
                <w:bCs/>
                <w:lang w:val="nl-NL"/>
              </w:rPr>
            </w:pPr>
            <w:r w:rsidRPr="00760ACA">
              <w:rPr>
                <w:rFonts w:asciiTheme="majorHAnsi" w:hAnsiTheme="majorHAnsi" w:cstheme="majorHAnsi"/>
                <w:b/>
                <w:bCs/>
                <w:lang w:val="nl-NL"/>
              </w:rPr>
              <w:t>Meetmoment(en)</w:t>
            </w:r>
          </w:p>
        </w:tc>
        <w:tc>
          <w:tcPr>
            <w:tcW w:w="2127" w:type="dxa"/>
          </w:tcPr>
          <w:p w14:paraId="55305316" w14:textId="77777777" w:rsidR="001163DA" w:rsidRPr="00760ACA" w:rsidRDefault="00170A6C">
            <w:pPr>
              <w:rPr>
                <w:rFonts w:asciiTheme="majorHAnsi" w:hAnsiTheme="majorHAnsi" w:cstheme="majorHAnsi"/>
                <w:b/>
                <w:bCs/>
                <w:lang w:val="nl-NL"/>
              </w:rPr>
            </w:pPr>
            <w:r w:rsidRPr="00760ACA">
              <w:rPr>
                <w:rFonts w:asciiTheme="majorHAnsi" w:hAnsiTheme="majorHAnsi" w:cstheme="majorHAnsi"/>
                <w:b/>
                <w:bCs/>
                <w:lang w:val="nl-NL"/>
              </w:rPr>
              <w:t>Instrument</w:t>
            </w:r>
          </w:p>
        </w:tc>
        <w:tc>
          <w:tcPr>
            <w:tcW w:w="1701" w:type="dxa"/>
          </w:tcPr>
          <w:p w14:paraId="39F04C02" w14:textId="77777777" w:rsidR="001163DA" w:rsidRPr="00760ACA" w:rsidRDefault="00170A6C">
            <w:pPr>
              <w:rPr>
                <w:rFonts w:asciiTheme="majorHAnsi" w:hAnsiTheme="majorHAnsi" w:cstheme="majorHAnsi"/>
                <w:b/>
                <w:bCs/>
                <w:lang w:val="nl-NL"/>
              </w:rPr>
            </w:pPr>
            <w:r w:rsidRPr="00760ACA">
              <w:rPr>
                <w:rFonts w:asciiTheme="majorHAnsi" w:hAnsiTheme="majorHAnsi" w:cstheme="majorHAnsi"/>
                <w:b/>
                <w:bCs/>
                <w:lang w:val="nl-NL"/>
              </w:rPr>
              <w:t>Verbinder</w:t>
            </w:r>
          </w:p>
        </w:tc>
      </w:tr>
      <w:tr w:rsidR="00760ACA" w:rsidRPr="00760ACA" w14:paraId="1AAEC5FA" w14:textId="77777777" w:rsidTr="00067A4F">
        <w:tc>
          <w:tcPr>
            <w:tcW w:w="2410" w:type="dxa"/>
          </w:tcPr>
          <w:p w14:paraId="7B1E9450"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Professionals hebben een inclusieve mindset en werken handelingsgericht.</w:t>
            </w:r>
          </w:p>
        </w:tc>
        <w:tc>
          <w:tcPr>
            <w:tcW w:w="3544" w:type="dxa"/>
          </w:tcPr>
          <w:p w14:paraId="5F2CB187" w14:textId="61AC9F13"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 xml:space="preserve">Minimaal 80% van </w:t>
            </w:r>
            <w:r w:rsidR="00760ACA" w:rsidRPr="00760ACA">
              <w:rPr>
                <w:rFonts w:asciiTheme="majorHAnsi" w:hAnsiTheme="majorHAnsi" w:cstheme="majorHAnsi"/>
                <w:sz w:val="20"/>
                <w:szCs w:val="20"/>
                <w:lang w:val="nl-NL"/>
              </w:rPr>
              <w:t>Ib’ers</w:t>
            </w:r>
            <w:r w:rsidRPr="00760ACA">
              <w:rPr>
                <w:rFonts w:asciiTheme="majorHAnsi" w:hAnsiTheme="majorHAnsi" w:cstheme="majorHAnsi"/>
                <w:sz w:val="20"/>
                <w:szCs w:val="20"/>
                <w:lang w:val="nl-NL"/>
              </w:rPr>
              <w:t xml:space="preserve"> en leerkrachten geeft aan zich competent te voelen om inclusief en handelingsgericht te werken en kent het aanbod van SWV en de PO–VO toolkit.</w:t>
            </w:r>
          </w:p>
        </w:tc>
        <w:tc>
          <w:tcPr>
            <w:tcW w:w="2268" w:type="dxa"/>
          </w:tcPr>
          <w:p w14:paraId="50A37A9C" w14:textId="03F7AF6F"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 xml:space="preserve">Uitkomsten POS-vragen over inclusieve </w:t>
            </w:r>
            <w:proofErr w:type="spellStart"/>
            <w:r w:rsidRPr="00760ACA">
              <w:rPr>
                <w:rFonts w:asciiTheme="majorHAnsi" w:hAnsiTheme="majorHAnsi" w:cstheme="majorHAnsi"/>
                <w:sz w:val="20"/>
                <w:szCs w:val="20"/>
                <w:lang w:val="nl-NL"/>
              </w:rPr>
              <w:t>mindset</w:t>
            </w:r>
            <w:proofErr w:type="spellEnd"/>
            <w:r w:rsidRPr="00760ACA">
              <w:rPr>
                <w:rFonts w:asciiTheme="majorHAnsi" w:hAnsiTheme="majorHAnsi" w:cstheme="majorHAnsi"/>
                <w:sz w:val="20"/>
                <w:szCs w:val="20"/>
                <w:lang w:val="nl-NL"/>
              </w:rPr>
              <w:t xml:space="preserve"> en gebrui</w:t>
            </w:r>
            <w:r w:rsidR="004B256B">
              <w:rPr>
                <w:rFonts w:asciiTheme="majorHAnsi" w:hAnsiTheme="majorHAnsi" w:cstheme="majorHAnsi"/>
                <w:sz w:val="20"/>
                <w:szCs w:val="20"/>
                <w:lang w:val="nl-NL"/>
              </w:rPr>
              <w:t>k</w:t>
            </w:r>
            <w:r w:rsidRPr="00760ACA">
              <w:rPr>
                <w:rFonts w:asciiTheme="majorHAnsi" w:hAnsiTheme="majorHAnsi" w:cstheme="majorHAnsi"/>
                <w:sz w:val="20"/>
                <w:szCs w:val="20"/>
                <w:lang w:val="nl-NL"/>
              </w:rPr>
              <w:t xml:space="preserve"> deelnamepercentages aan scholing.</w:t>
            </w:r>
          </w:p>
        </w:tc>
        <w:tc>
          <w:tcPr>
            <w:tcW w:w="1984" w:type="dxa"/>
          </w:tcPr>
          <w:p w14:paraId="2AA38219"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POS-uitvraag juni en december 2026; MARAP 2 en 3; jaarverslag 2026.</w:t>
            </w:r>
          </w:p>
        </w:tc>
        <w:tc>
          <w:tcPr>
            <w:tcW w:w="2127" w:type="dxa"/>
          </w:tcPr>
          <w:p w14:paraId="5DC2C13D"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POS, scholingsregistraties, jaarverslag.</w:t>
            </w:r>
          </w:p>
        </w:tc>
        <w:tc>
          <w:tcPr>
            <w:tcW w:w="1701" w:type="dxa"/>
          </w:tcPr>
          <w:p w14:paraId="137C17EE"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Beleid, consulenten, NWG PO–VO.</w:t>
            </w:r>
          </w:p>
        </w:tc>
      </w:tr>
      <w:tr w:rsidR="00760ACA" w:rsidRPr="00760ACA" w14:paraId="61FEF1B6" w14:textId="77777777" w:rsidTr="00067A4F">
        <w:trPr>
          <w:trHeight w:val="1335"/>
        </w:trPr>
        <w:tc>
          <w:tcPr>
            <w:tcW w:w="2410" w:type="dxa"/>
          </w:tcPr>
          <w:p w14:paraId="3DEDCA5B"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Co-teaching en coaching on the job zijn onderdeel van de ondersteuningsstructuur.</w:t>
            </w:r>
          </w:p>
        </w:tc>
        <w:tc>
          <w:tcPr>
            <w:tcW w:w="3544" w:type="dxa"/>
          </w:tcPr>
          <w:p w14:paraId="6678EA49" w14:textId="69F24A22" w:rsidR="00760ACA" w:rsidRPr="00760ACA" w:rsidRDefault="00170A6C" w:rsidP="00067A4F">
            <w:pPr>
              <w:rPr>
                <w:rFonts w:asciiTheme="majorHAnsi" w:hAnsiTheme="majorHAnsi" w:cstheme="majorHAnsi"/>
                <w:sz w:val="20"/>
                <w:szCs w:val="20"/>
                <w:lang w:val="nl-NL"/>
              </w:rPr>
            </w:pPr>
            <w:r w:rsidRPr="00760ACA">
              <w:rPr>
                <w:rFonts w:asciiTheme="majorHAnsi" w:hAnsiTheme="majorHAnsi" w:cstheme="majorHAnsi"/>
                <w:sz w:val="20"/>
                <w:szCs w:val="20"/>
                <w:lang w:val="nl-NL"/>
              </w:rPr>
              <w:t>Minimaal 6 co-teachingstrajecten in 2026 (in principe één per kern) en 6 trajecten coaching on the job bij wisseling IB/schoolleiding</w:t>
            </w:r>
            <w:r w:rsidR="004B0A80">
              <w:rPr>
                <w:rFonts w:asciiTheme="majorHAnsi" w:hAnsiTheme="majorHAnsi" w:cstheme="majorHAnsi"/>
                <w:sz w:val="20"/>
                <w:szCs w:val="20"/>
                <w:lang w:val="nl-NL"/>
              </w:rPr>
              <w:t>/ consulent.</w:t>
            </w:r>
          </w:p>
        </w:tc>
        <w:tc>
          <w:tcPr>
            <w:tcW w:w="2268" w:type="dxa"/>
          </w:tcPr>
          <w:p w14:paraId="47C0DB92"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Aantal co-teachingstrajecten en coachingstrajecten per kern.</w:t>
            </w:r>
          </w:p>
        </w:tc>
        <w:tc>
          <w:tcPr>
            <w:tcW w:w="1984" w:type="dxa"/>
          </w:tcPr>
          <w:p w14:paraId="4CB43CD7" w14:textId="7B4B71FA"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 xml:space="preserve">MARAP 1, 2 en 3; overleg </w:t>
            </w:r>
            <w:r w:rsidR="004B256B" w:rsidRPr="00760ACA">
              <w:rPr>
                <w:rFonts w:asciiTheme="majorHAnsi" w:hAnsiTheme="majorHAnsi" w:cstheme="majorHAnsi"/>
                <w:sz w:val="20"/>
                <w:szCs w:val="20"/>
                <w:lang w:val="nl-NL"/>
              </w:rPr>
              <w:t>NWG-gedrag</w:t>
            </w:r>
            <w:r w:rsidRPr="00760ACA">
              <w:rPr>
                <w:rFonts w:asciiTheme="majorHAnsi" w:hAnsiTheme="majorHAnsi" w:cstheme="majorHAnsi"/>
                <w:sz w:val="20"/>
                <w:szCs w:val="20"/>
                <w:lang w:val="nl-NL"/>
              </w:rPr>
              <w:t xml:space="preserve"> en kernen.</w:t>
            </w:r>
          </w:p>
        </w:tc>
        <w:tc>
          <w:tcPr>
            <w:tcW w:w="2127" w:type="dxa"/>
          </w:tcPr>
          <w:p w14:paraId="398EE4EA"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Co-teachingmonitor, kernplannen, MARAP.</w:t>
            </w:r>
          </w:p>
        </w:tc>
        <w:tc>
          <w:tcPr>
            <w:tcW w:w="1701" w:type="dxa"/>
          </w:tcPr>
          <w:p w14:paraId="39F0B28F" w14:textId="57960F3E"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 xml:space="preserve">Beleid, </w:t>
            </w:r>
            <w:r w:rsidR="004B256B" w:rsidRPr="00760ACA">
              <w:rPr>
                <w:rFonts w:asciiTheme="majorHAnsi" w:hAnsiTheme="majorHAnsi" w:cstheme="majorHAnsi"/>
                <w:sz w:val="20"/>
                <w:szCs w:val="20"/>
                <w:lang w:val="nl-NL"/>
              </w:rPr>
              <w:t>NWG-gedrag</w:t>
            </w:r>
            <w:r w:rsidRPr="00760ACA">
              <w:rPr>
                <w:rFonts w:asciiTheme="majorHAnsi" w:hAnsiTheme="majorHAnsi" w:cstheme="majorHAnsi"/>
                <w:sz w:val="20"/>
                <w:szCs w:val="20"/>
                <w:lang w:val="nl-NL"/>
              </w:rPr>
              <w:t>, consulenten.</w:t>
            </w:r>
          </w:p>
        </w:tc>
      </w:tr>
      <w:tr w:rsidR="00760ACA" w:rsidRPr="00760ACA" w14:paraId="0467AC0F" w14:textId="77777777" w:rsidTr="00067A4F">
        <w:tc>
          <w:tcPr>
            <w:tcW w:w="2410" w:type="dxa"/>
          </w:tcPr>
          <w:p w14:paraId="0C8BC430"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Professionaliseringsmiddelen worden doelmatig ingezet en versterken inclusiebeweging.</w:t>
            </w:r>
          </w:p>
        </w:tc>
        <w:tc>
          <w:tcPr>
            <w:tcW w:w="3544" w:type="dxa"/>
          </w:tcPr>
          <w:p w14:paraId="68F21C95"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 85% van het knipkaartbudget is benut, waarvan ≥ 15% besteed aan Sardes-programma’s rond inclusie.</w:t>
            </w:r>
          </w:p>
        </w:tc>
        <w:tc>
          <w:tcPr>
            <w:tcW w:w="2268" w:type="dxa"/>
          </w:tcPr>
          <w:p w14:paraId="2B3F7458" w14:textId="1ABB0945"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 xml:space="preserve">Benutting knipkaartbudget en bestedingsdoelen (team </w:t>
            </w:r>
            <w:r w:rsidR="00760ACA" w:rsidRPr="00760ACA">
              <w:rPr>
                <w:rFonts w:asciiTheme="majorHAnsi" w:hAnsiTheme="majorHAnsi" w:cstheme="majorHAnsi"/>
                <w:sz w:val="20"/>
                <w:szCs w:val="20"/>
                <w:lang w:val="nl-NL"/>
              </w:rPr>
              <w:t>vs.</w:t>
            </w:r>
            <w:r w:rsidRPr="00760ACA">
              <w:rPr>
                <w:rFonts w:asciiTheme="majorHAnsi" w:hAnsiTheme="majorHAnsi" w:cstheme="majorHAnsi"/>
                <w:sz w:val="20"/>
                <w:szCs w:val="20"/>
                <w:lang w:val="nl-NL"/>
              </w:rPr>
              <w:t xml:space="preserve"> individueel </w:t>
            </w:r>
            <w:r w:rsidR="00760ACA" w:rsidRPr="00760ACA">
              <w:rPr>
                <w:rFonts w:asciiTheme="majorHAnsi" w:hAnsiTheme="majorHAnsi" w:cstheme="majorHAnsi"/>
                <w:sz w:val="20"/>
                <w:szCs w:val="20"/>
                <w:lang w:val="nl-NL"/>
              </w:rPr>
              <w:t>vs.</w:t>
            </w:r>
            <w:r w:rsidRPr="00760ACA">
              <w:rPr>
                <w:rFonts w:asciiTheme="majorHAnsi" w:hAnsiTheme="majorHAnsi" w:cstheme="majorHAnsi"/>
                <w:sz w:val="20"/>
                <w:szCs w:val="20"/>
                <w:lang w:val="nl-NL"/>
              </w:rPr>
              <w:t xml:space="preserve"> Sardes).</w:t>
            </w:r>
          </w:p>
        </w:tc>
        <w:tc>
          <w:tcPr>
            <w:tcW w:w="1984" w:type="dxa"/>
          </w:tcPr>
          <w:p w14:paraId="3C5F233E"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MARAP 2 en 3; bespreking Cie. Financiën en Cie. Kwaliteit.</w:t>
            </w:r>
          </w:p>
        </w:tc>
        <w:tc>
          <w:tcPr>
            <w:tcW w:w="2127" w:type="dxa"/>
          </w:tcPr>
          <w:p w14:paraId="28D7E21C"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Knipkaart-overzicht, begroting 2026, MARAP, jaarrekening.</w:t>
            </w:r>
          </w:p>
        </w:tc>
        <w:tc>
          <w:tcPr>
            <w:tcW w:w="1701" w:type="dxa"/>
          </w:tcPr>
          <w:p w14:paraId="7D0A04D0"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Controller, beleid, Cie. Financiën, Cie. Kwaliteit.</w:t>
            </w:r>
          </w:p>
        </w:tc>
      </w:tr>
      <w:tr w:rsidR="00760ACA" w:rsidRPr="00760ACA" w14:paraId="0B299C3C" w14:textId="77777777" w:rsidTr="00067A4F">
        <w:tc>
          <w:tcPr>
            <w:tcW w:w="2410" w:type="dxa"/>
          </w:tcPr>
          <w:p w14:paraId="18405EBE"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lastRenderedPageBreak/>
              <w:t>OPP’s en kindplannen ondersteunen eigenaarschap van leerling en leerkracht.</w:t>
            </w:r>
          </w:p>
        </w:tc>
        <w:tc>
          <w:tcPr>
            <w:tcW w:w="3544" w:type="dxa"/>
          </w:tcPr>
          <w:p w14:paraId="787F67B3"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100% van de scholen heeft OPP’s en kindplannen die voldoen aan inspectienormen (heldere doelen, evaluatie, betrokkenheid leerling/ouders).</w:t>
            </w:r>
          </w:p>
        </w:tc>
        <w:tc>
          <w:tcPr>
            <w:tcW w:w="2268" w:type="dxa"/>
          </w:tcPr>
          <w:p w14:paraId="4ABA4593"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Uitkomsten dossiersonderzoek, bevindingen consulenten en inspectierapporten.</w:t>
            </w:r>
          </w:p>
        </w:tc>
        <w:tc>
          <w:tcPr>
            <w:tcW w:w="1984" w:type="dxa"/>
          </w:tcPr>
          <w:p w14:paraId="670BE281"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Schoolbezoeken consulenten (doorlopend); jaargesprek bestuur–SWV; jaarverslag.</w:t>
            </w:r>
          </w:p>
        </w:tc>
        <w:tc>
          <w:tcPr>
            <w:tcW w:w="2127" w:type="dxa"/>
          </w:tcPr>
          <w:p w14:paraId="4DFD615A" w14:textId="79A9087E" w:rsidR="001163DA" w:rsidRPr="00760ACA" w:rsidRDefault="00B91CA2">
            <w:pPr>
              <w:rPr>
                <w:rFonts w:asciiTheme="majorHAnsi" w:hAnsiTheme="majorHAnsi" w:cstheme="majorHAnsi"/>
                <w:sz w:val="20"/>
                <w:szCs w:val="20"/>
                <w:lang w:val="nl-NL"/>
              </w:rPr>
            </w:pPr>
            <w:r w:rsidRPr="00760ACA">
              <w:rPr>
                <w:rFonts w:asciiTheme="majorHAnsi" w:hAnsiTheme="majorHAnsi" w:cstheme="majorHAnsi"/>
                <w:sz w:val="20"/>
                <w:szCs w:val="20"/>
                <w:lang w:val="nl-NL"/>
              </w:rPr>
              <w:t>V</w:t>
            </w:r>
            <w:r w:rsidR="00170A6C" w:rsidRPr="00760ACA">
              <w:rPr>
                <w:rFonts w:asciiTheme="majorHAnsi" w:hAnsiTheme="majorHAnsi" w:cstheme="majorHAnsi"/>
                <w:sz w:val="20"/>
                <w:szCs w:val="20"/>
                <w:lang w:val="nl-NL"/>
              </w:rPr>
              <w:t>erslagen consulenten, inspectierapporten.</w:t>
            </w:r>
          </w:p>
        </w:tc>
        <w:tc>
          <w:tcPr>
            <w:tcW w:w="1701" w:type="dxa"/>
          </w:tcPr>
          <w:p w14:paraId="0C8CA885"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Consulenten, beleid, bestuurder.</w:t>
            </w:r>
          </w:p>
        </w:tc>
      </w:tr>
    </w:tbl>
    <w:p w14:paraId="682B50E0" w14:textId="77777777" w:rsidR="000E6774" w:rsidRDefault="000E6774">
      <w:pPr>
        <w:pStyle w:val="Kop2"/>
        <w:rPr>
          <w:rFonts w:cstheme="majorHAnsi"/>
          <w:color w:val="auto"/>
          <w:sz w:val="24"/>
          <w:szCs w:val="24"/>
          <w:lang w:val="nl-NL"/>
        </w:rPr>
      </w:pPr>
    </w:p>
    <w:p w14:paraId="565B59D3" w14:textId="47B79065" w:rsidR="001163DA" w:rsidRPr="00760ACA" w:rsidRDefault="00170A6C">
      <w:pPr>
        <w:pStyle w:val="Kop2"/>
        <w:rPr>
          <w:rFonts w:cstheme="majorHAnsi"/>
          <w:color w:val="auto"/>
          <w:sz w:val="24"/>
          <w:szCs w:val="24"/>
          <w:lang w:val="nl-NL"/>
        </w:rPr>
      </w:pPr>
      <w:r w:rsidRPr="00760ACA">
        <w:rPr>
          <w:rFonts w:cstheme="majorHAnsi"/>
          <w:color w:val="auto"/>
          <w:sz w:val="24"/>
          <w:szCs w:val="24"/>
          <w:lang w:val="nl-NL"/>
        </w:rPr>
        <w:t>Ambitie 2 – Sterk netwerk</w:t>
      </w:r>
    </w:p>
    <w:p w14:paraId="54C00950" w14:textId="60BD07CB" w:rsidR="000E6774" w:rsidRPr="00B15C60" w:rsidRDefault="00760ACA">
      <w:pPr>
        <w:rPr>
          <w:rFonts w:asciiTheme="majorHAnsi" w:hAnsiTheme="majorHAnsi" w:cstheme="majorHAnsi"/>
          <w:lang w:val="nl-NL"/>
        </w:rPr>
      </w:pPr>
      <w:r>
        <w:rPr>
          <w:rFonts w:asciiTheme="majorHAnsi" w:hAnsiTheme="majorHAnsi" w:cstheme="majorHAnsi"/>
          <w:lang w:val="nl-NL"/>
        </w:rPr>
        <w:t>E</w:t>
      </w:r>
      <w:r w:rsidR="00170A6C" w:rsidRPr="00B15C60">
        <w:rPr>
          <w:rFonts w:asciiTheme="majorHAnsi" w:hAnsiTheme="majorHAnsi" w:cstheme="majorHAnsi"/>
          <w:lang w:val="nl-NL"/>
        </w:rPr>
        <w:t>en dekkende pedagogische en didactische infrastructuur waarin scholen, gemeenten en jeugdhulp geïntegreerd samenwerken, zodat geen kind de kern uit hoeft.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544"/>
        <w:gridCol w:w="2268"/>
        <w:gridCol w:w="1984"/>
        <w:gridCol w:w="2127"/>
        <w:gridCol w:w="1701"/>
      </w:tblGrid>
      <w:tr w:rsidR="00760ACA" w:rsidRPr="00760ACA" w14:paraId="5E248306" w14:textId="77777777" w:rsidTr="00067A4F">
        <w:tc>
          <w:tcPr>
            <w:tcW w:w="2405" w:type="dxa"/>
          </w:tcPr>
          <w:p w14:paraId="3C006FDD" w14:textId="77777777" w:rsidR="001163DA" w:rsidRPr="00760ACA" w:rsidRDefault="00170A6C">
            <w:pPr>
              <w:rPr>
                <w:rFonts w:asciiTheme="majorHAnsi" w:hAnsiTheme="majorHAnsi" w:cstheme="majorHAnsi"/>
                <w:b/>
                <w:bCs/>
                <w:lang w:val="nl-NL"/>
              </w:rPr>
            </w:pPr>
            <w:r w:rsidRPr="00760ACA">
              <w:rPr>
                <w:rFonts w:asciiTheme="majorHAnsi" w:hAnsiTheme="majorHAnsi" w:cstheme="majorHAnsi"/>
                <w:b/>
                <w:bCs/>
                <w:lang w:val="nl-NL"/>
              </w:rPr>
              <w:t>Doel</w:t>
            </w:r>
          </w:p>
        </w:tc>
        <w:tc>
          <w:tcPr>
            <w:tcW w:w="3544" w:type="dxa"/>
          </w:tcPr>
          <w:p w14:paraId="77D054A3" w14:textId="77777777" w:rsidR="001163DA" w:rsidRPr="00760ACA" w:rsidRDefault="00170A6C">
            <w:pPr>
              <w:rPr>
                <w:rFonts w:asciiTheme="majorHAnsi" w:hAnsiTheme="majorHAnsi" w:cstheme="majorHAnsi"/>
                <w:b/>
                <w:bCs/>
                <w:lang w:val="nl-NL"/>
              </w:rPr>
            </w:pPr>
            <w:r w:rsidRPr="00760ACA">
              <w:rPr>
                <w:rFonts w:asciiTheme="majorHAnsi" w:hAnsiTheme="majorHAnsi" w:cstheme="majorHAnsi"/>
                <w:b/>
                <w:bCs/>
                <w:lang w:val="nl-NL"/>
              </w:rPr>
              <w:t>Resultaat 2026</w:t>
            </w:r>
          </w:p>
        </w:tc>
        <w:tc>
          <w:tcPr>
            <w:tcW w:w="2268" w:type="dxa"/>
          </w:tcPr>
          <w:p w14:paraId="0E4BEBE0" w14:textId="77777777" w:rsidR="001163DA" w:rsidRPr="00760ACA" w:rsidRDefault="00170A6C">
            <w:pPr>
              <w:rPr>
                <w:rFonts w:asciiTheme="majorHAnsi" w:hAnsiTheme="majorHAnsi" w:cstheme="majorHAnsi"/>
                <w:b/>
                <w:bCs/>
                <w:lang w:val="nl-NL"/>
              </w:rPr>
            </w:pPr>
            <w:r w:rsidRPr="00760ACA">
              <w:rPr>
                <w:rFonts w:asciiTheme="majorHAnsi" w:hAnsiTheme="majorHAnsi" w:cstheme="majorHAnsi"/>
                <w:b/>
                <w:bCs/>
                <w:lang w:val="nl-NL"/>
              </w:rPr>
              <w:t>Indicator(en)</w:t>
            </w:r>
          </w:p>
        </w:tc>
        <w:tc>
          <w:tcPr>
            <w:tcW w:w="1984" w:type="dxa"/>
          </w:tcPr>
          <w:p w14:paraId="11A4B131" w14:textId="77777777" w:rsidR="001163DA" w:rsidRPr="00760ACA" w:rsidRDefault="00170A6C">
            <w:pPr>
              <w:rPr>
                <w:rFonts w:asciiTheme="majorHAnsi" w:hAnsiTheme="majorHAnsi" w:cstheme="majorHAnsi"/>
                <w:b/>
                <w:bCs/>
                <w:lang w:val="nl-NL"/>
              </w:rPr>
            </w:pPr>
            <w:r w:rsidRPr="00760ACA">
              <w:rPr>
                <w:rFonts w:asciiTheme="majorHAnsi" w:hAnsiTheme="majorHAnsi" w:cstheme="majorHAnsi"/>
                <w:b/>
                <w:bCs/>
                <w:lang w:val="nl-NL"/>
              </w:rPr>
              <w:t>Meetmoment(en)</w:t>
            </w:r>
          </w:p>
        </w:tc>
        <w:tc>
          <w:tcPr>
            <w:tcW w:w="2127" w:type="dxa"/>
          </w:tcPr>
          <w:p w14:paraId="762E5CD8" w14:textId="77777777" w:rsidR="001163DA" w:rsidRPr="00760ACA" w:rsidRDefault="00170A6C">
            <w:pPr>
              <w:rPr>
                <w:rFonts w:asciiTheme="majorHAnsi" w:hAnsiTheme="majorHAnsi" w:cstheme="majorHAnsi"/>
                <w:b/>
                <w:bCs/>
                <w:lang w:val="nl-NL"/>
              </w:rPr>
            </w:pPr>
            <w:r w:rsidRPr="00760ACA">
              <w:rPr>
                <w:rFonts w:asciiTheme="majorHAnsi" w:hAnsiTheme="majorHAnsi" w:cstheme="majorHAnsi"/>
                <w:b/>
                <w:bCs/>
                <w:lang w:val="nl-NL"/>
              </w:rPr>
              <w:t>Instrument</w:t>
            </w:r>
          </w:p>
        </w:tc>
        <w:tc>
          <w:tcPr>
            <w:tcW w:w="1701" w:type="dxa"/>
          </w:tcPr>
          <w:p w14:paraId="6BACC593" w14:textId="77777777" w:rsidR="001163DA" w:rsidRPr="00760ACA" w:rsidRDefault="00170A6C">
            <w:pPr>
              <w:rPr>
                <w:rFonts w:asciiTheme="majorHAnsi" w:hAnsiTheme="majorHAnsi" w:cstheme="majorHAnsi"/>
                <w:b/>
                <w:bCs/>
                <w:lang w:val="nl-NL"/>
              </w:rPr>
            </w:pPr>
            <w:r w:rsidRPr="00760ACA">
              <w:rPr>
                <w:rFonts w:asciiTheme="majorHAnsi" w:hAnsiTheme="majorHAnsi" w:cstheme="majorHAnsi"/>
                <w:b/>
                <w:bCs/>
                <w:lang w:val="nl-NL"/>
              </w:rPr>
              <w:t>Verbinder</w:t>
            </w:r>
          </w:p>
        </w:tc>
      </w:tr>
      <w:tr w:rsidR="00760ACA" w:rsidRPr="00B15C60" w14:paraId="07FABD6D" w14:textId="77777777" w:rsidTr="00067A4F">
        <w:tc>
          <w:tcPr>
            <w:tcW w:w="2405" w:type="dxa"/>
          </w:tcPr>
          <w:p w14:paraId="39C3694D"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Kernen werken planmatig aan inclusie.</w:t>
            </w:r>
          </w:p>
        </w:tc>
        <w:tc>
          <w:tcPr>
            <w:tcW w:w="3544" w:type="dxa"/>
          </w:tcPr>
          <w:p w14:paraId="18AB8CEF" w14:textId="1605B963" w:rsidR="001163DA" w:rsidRPr="00760ACA" w:rsidRDefault="004C4B16">
            <w:pPr>
              <w:rPr>
                <w:rFonts w:asciiTheme="majorHAnsi" w:hAnsiTheme="majorHAnsi" w:cstheme="majorHAnsi"/>
                <w:sz w:val="20"/>
                <w:szCs w:val="20"/>
                <w:lang w:val="nl-NL"/>
              </w:rPr>
            </w:pPr>
            <w:r>
              <w:rPr>
                <w:rFonts w:asciiTheme="majorHAnsi" w:hAnsiTheme="majorHAnsi" w:cstheme="majorHAnsi"/>
                <w:sz w:val="20"/>
                <w:szCs w:val="20"/>
                <w:lang w:val="nl-NL"/>
              </w:rPr>
              <w:t>80</w:t>
            </w:r>
            <w:r w:rsidR="00170A6C" w:rsidRPr="00760ACA">
              <w:rPr>
                <w:rFonts w:asciiTheme="majorHAnsi" w:hAnsiTheme="majorHAnsi" w:cstheme="majorHAnsi"/>
                <w:sz w:val="20"/>
                <w:szCs w:val="20"/>
                <w:lang w:val="nl-NL"/>
              </w:rPr>
              <w:t>% van de kernen heeft een kernplan met visie op inclusie, behoefteanalyse, afspraken met kernpartners en inzet van kernbudget</w:t>
            </w:r>
            <w:r w:rsidR="00552D8F" w:rsidRPr="00760ACA">
              <w:rPr>
                <w:rFonts w:asciiTheme="majorHAnsi" w:hAnsiTheme="majorHAnsi" w:cstheme="majorHAnsi"/>
                <w:sz w:val="20"/>
                <w:szCs w:val="20"/>
                <w:lang w:val="nl-NL"/>
              </w:rPr>
              <w:t>.</w:t>
            </w:r>
          </w:p>
        </w:tc>
        <w:tc>
          <w:tcPr>
            <w:tcW w:w="2268" w:type="dxa"/>
          </w:tcPr>
          <w:p w14:paraId="084A7E20"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Aantal ingediende kernplannen en mate waarin de vier onderdelen zijn uitgewerkt.</w:t>
            </w:r>
          </w:p>
        </w:tc>
        <w:tc>
          <w:tcPr>
            <w:tcW w:w="1984" w:type="dxa"/>
          </w:tcPr>
          <w:p w14:paraId="2CD5482D"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Kernoverleggen (voorjaar en najaar); bespreking in deelnemersraad; jaarverslag.</w:t>
            </w:r>
          </w:p>
        </w:tc>
        <w:tc>
          <w:tcPr>
            <w:tcW w:w="2127" w:type="dxa"/>
          </w:tcPr>
          <w:p w14:paraId="0D3EA2D1"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Kernplannen (Bloom/POS), notulen kernoverleggen.</w:t>
            </w:r>
          </w:p>
        </w:tc>
        <w:tc>
          <w:tcPr>
            <w:tcW w:w="1701" w:type="dxa"/>
          </w:tcPr>
          <w:p w14:paraId="36F8F5CE"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Beleid, consulenten, bestuurder (voor verbinding met gemeenten).</w:t>
            </w:r>
          </w:p>
        </w:tc>
      </w:tr>
      <w:tr w:rsidR="00760ACA" w:rsidRPr="00B15C60" w14:paraId="155D91C1" w14:textId="77777777" w:rsidTr="00067A4F">
        <w:tc>
          <w:tcPr>
            <w:tcW w:w="2405" w:type="dxa"/>
            <w:tcBorders>
              <w:bottom w:val="single" w:sz="4" w:space="0" w:color="auto"/>
            </w:tcBorders>
          </w:tcPr>
          <w:p w14:paraId="3941AD0E"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Onderwijs en jeugdhulp werken in de wijk samen vanuit een gedeelde opdracht.</w:t>
            </w:r>
          </w:p>
        </w:tc>
        <w:tc>
          <w:tcPr>
            <w:tcW w:w="3544" w:type="dxa"/>
            <w:tcBorders>
              <w:bottom w:val="single" w:sz="4" w:space="0" w:color="auto"/>
            </w:tcBorders>
          </w:tcPr>
          <w:p w14:paraId="2798BD3E"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Minimaal 2 pilots jeugdhulp op school (SOOS Castricum, startklassen in IJmond) zijn geëvalueerd en er is besluitvorming over borgen, opschalen of bijstellen.</w:t>
            </w:r>
          </w:p>
        </w:tc>
        <w:tc>
          <w:tcPr>
            <w:tcW w:w="2268" w:type="dxa"/>
            <w:tcBorders>
              <w:bottom w:val="single" w:sz="4" w:space="0" w:color="auto"/>
            </w:tcBorders>
          </w:tcPr>
          <w:p w14:paraId="29A0AE1E"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Aanwezigheid evaluatierapporten; besluiten over vervolg; betrokkenheid gemeenten en jeugdhulp.</w:t>
            </w:r>
          </w:p>
        </w:tc>
        <w:tc>
          <w:tcPr>
            <w:tcW w:w="1984" w:type="dxa"/>
            <w:tcBorders>
              <w:bottom w:val="single" w:sz="4" w:space="0" w:color="auto"/>
            </w:tcBorders>
          </w:tcPr>
          <w:p w14:paraId="14449064"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Eind schooljaar 2026; regiegroep/OOGO in najaar 2026.</w:t>
            </w:r>
          </w:p>
        </w:tc>
        <w:tc>
          <w:tcPr>
            <w:tcW w:w="2127" w:type="dxa"/>
            <w:tcBorders>
              <w:bottom w:val="single" w:sz="4" w:space="0" w:color="auto"/>
            </w:tcBorders>
          </w:tcPr>
          <w:p w14:paraId="2563F77D"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Evaluatierapporten pilots, regiegroepverslagen, OOGO-documenten.</w:t>
            </w:r>
          </w:p>
        </w:tc>
        <w:tc>
          <w:tcPr>
            <w:tcW w:w="1701" w:type="dxa"/>
            <w:tcBorders>
              <w:bottom w:val="single" w:sz="4" w:space="0" w:color="auto"/>
            </w:tcBorders>
          </w:tcPr>
          <w:p w14:paraId="071A41DE"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Bestuurder, beleid, jeugdhulpregio’s, gemeenten.</w:t>
            </w:r>
          </w:p>
        </w:tc>
      </w:tr>
      <w:tr w:rsidR="00760ACA" w:rsidRPr="00B15C60" w14:paraId="79E0E37D" w14:textId="77777777" w:rsidTr="00067A4F">
        <w:tc>
          <w:tcPr>
            <w:tcW w:w="2405" w:type="dxa"/>
            <w:tcBorders>
              <w:bottom w:val="single" w:sz="4" w:space="0" w:color="auto"/>
            </w:tcBorders>
          </w:tcPr>
          <w:p w14:paraId="41AD641E"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Thuiszittersaanpak is uniform en effectief in alle kernen.</w:t>
            </w:r>
          </w:p>
        </w:tc>
        <w:tc>
          <w:tcPr>
            <w:tcW w:w="3544" w:type="dxa"/>
            <w:tcBorders>
              <w:bottom w:val="single" w:sz="4" w:space="0" w:color="auto"/>
            </w:tcBorders>
          </w:tcPr>
          <w:p w14:paraId="33E6A5EC" w14:textId="05AE5203" w:rsidR="000E6774" w:rsidRPr="00760ACA" w:rsidRDefault="00170A6C" w:rsidP="00067A4F">
            <w:pPr>
              <w:rPr>
                <w:rFonts w:asciiTheme="majorHAnsi" w:hAnsiTheme="majorHAnsi" w:cstheme="majorHAnsi"/>
                <w:sz w:val="20"/>
                <w:szCs w:val="20"/>
                <w:lang w:val="nl-NL"/>
              </w:rPr>
            </w:pPr>
            <w:r w:rsidRPr="00760ACA">
              <w:rPr>
                <w:rFonts w:asciiTheme="majorHAnsi" w:hAnsiTheme="majorHAnsi" w:cstheme="majorHAnsi"/>
                <w:sz w:val="20"/>
                <w:szCs w:val="20"/>
                <w:lang w:val="nl-NL"/>
              </w:rPr>
              <w:t>Alle kernen werken met het stappenplan schoolaanwezigheid; HITT is beschikbaar en wordt bij complexe casuïstiek ingezet.</w:t>
            </w:r>
          </w:p>
        </w:tc>
        <w:tc>
          <w:tcPr>
            <w:tcW w:w="2268" w:type="dxa"/>
            <w:tcBorders>
              <w:bottom w:val="single" w:sz="4" w:space="0" w:color="auto"/>
            </w:tcBorders>
          </w:tcPr>
          <w:p w14:paraId="32780C1A"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Aantal geregistreerde thuiszitters per kern; toepassing stappenplan; aantal HITT-trajecten.</w:t>
            </w:r>
          </w:p>
        </w:tc>
        <w:tc>
          <w:tcPr>
            <w:tcW w:w="1984" w:type="dxa"/>
            <w:tcBorders>
              <w:bottom w:val="single" w:sz="4" w:space="0" w:color="auto"/>
            </w:tcBorders>
          </w:tcPr>
          <w:p w14:paraId="42751238" w14:textId="18258898"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 xml:space="preserve">Monitoring thuiszitters (3x per jaar); MARAP; </w:t>
            </w:r>
            <w:r w:rsidR="004C4B16" w:rsidRPr="00760ACA">
              <w:rPr>
                <w:rFonts w:asciiTheme="majorHAnsi" w:hAnsiTheme="majorHAnsi" w:cstheme="majorHAnsi"/>
                <w:sz w:val="20"/>
                <w:szCs w:val="20"/>
                <w:lang w:val="nl-NL"/>
              </w:rPr>
              <w:t>NWG-schoolaanwezigheid</w:t>
            </w:r>
            <w:r w:rsidRPr="00760ACA">
              <w:rPr>
                <w:rFonts w:asciiTheme="majorHAnsi" w:hAnsiTheme="majorHAnsi" w:cstheme="majorHAnsi"/>
                <w:sz w:val="20"/>
                <w:szCs w:val="20"/>
                <w:lang w:val="nl-NL"/>
              </w:rPr>
              <w:t>.</w:t>
            </w:r>
          </w:p>
        </w:tc>
        <w:tc>
          <w:tcPr>
            <w:tcW w:w="2127" w:type="dxa"/>
            <w:tcBorders>
              <w:bottom w:val="single" w:sz="4" w:space="0" w:color="auto"/>
            </w:tcBorders>
          </w:tcPr>
          <w:p w14:paraId="2048C0D8"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Thuiszittersdashboard, HITT-registraties, kernverslagen.</w:t>
            </w:r>
          </w:p>
        </w:tc>
        <w:tc>
          <w:tcPr>
            <w:tcW w:w="1701" w:type="dxa"/>
            <w:tcBorders>
              <w:bottom w:val="single" w:sz="4" w:space="0" w:color="auto"/>
            </w:tcBorders>
          </w:tcPr>
          <w:p w14:paraId="221AD16C" w14:textId="5DCD1AEC" w:rsidR="001163DA" w:rsidRPr="00760ACA" w:rsidRDefault="004C4B16">
            <w:pPr>
              <w:rPr>
                <w:rFonts w:asciiTheme="majorHAnsi" w:hAnsiTheme="majorHAnsi" w:cstheme="majorHAnsi"/>
                <w:sz w:val="20"/>
                <w:szCs w:val="20"/>
                <w:lang w:val="nl-NL"/>
              </w:rPr>
            </w:pPr>
            <w:r w:rsidRPr="00760ACA">
              <w:rPr>
                <w:rFonts w:asciiTheme="majorHAnsi" w:hAnsiTheme="majorHAnsi" w:cstheme="majorHAnsi"/>
                <w:sz w:val="20"/>
                <w:szCs w:val="20"/>
                <w:lang w:val="nl-NL"/>
              </w:rPr>
              <w:t>NWG-schoolaanwezigheid</w:t>
            </w:r>
            <w:r w:rsidR="00170A6C" w:rsidRPr="00760ACA">
              <w:rPr>
                <w:rFonts w:asciiTheme="majorHAnsi" w:hAnsiTheme="majorHAnsi" w:cstheme="majorHAnsi"/>
                <w:sz w:val="20"/>
                <w:szCs w:val="20"/>
                <w:lang w:val="nl-NL"/>
              </w:rPr>
              <w:t>, consulenten, bestuurder.</w:t>
            </w:r>
          </w:p>
        </w:tc>
      </w:tr>
      <w:tr w:rsidR="00760ACA" w:rsidRPr="00B15C60" w14:paraId="21B7A4BE" w14:textId="77777777" w:rsidTr="00067A4F">
        <w:tc>
          <w:tcPr>
            <w:tcW w:w="2405" w:type="dxa"/>
            <w:tcBorders>
              <w:top w:val="single" w:sz="4" w:space="0" w:color="auto"/>
            </w:tcBorders>
          </w:tcPr>
          <w:p w14:paraId="438428A6"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lastRenderedPageBreak/>
              <w:t>Voorschoolse voorzieningen sluiten beter aan op regulier onderwijs.</w:t>
            </w:r>
          </w:p>
        </w:tc>
        <w:tc>
          <w:tcPr>
            <w:tcW w:w="3544" w:type="dxa"/>
            <w:tcBorders>
              <w:top w:val="single" w:sz="4" w:space="0" w:color="auto"/>
            </w:tcBorders>
          </w:tcPr>
          <w:p w14:paraId="4018340F" w14:textId="139B9A35"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 xml:space="preserve">JGZ en voorschoolse partners </w:t>
            </w:r>
            <w:r w:rsidR="00552D8F" w:rsidRPr="00760ACA">
              <w:rPr>
                <w:rFonts w:asciiTheme="majorHAnsi" w:hAnsiTheme="majorHAnsi" w:cstheme="majorHAnsi"/>
                <w:sz w:val="20"/>
                <w:szCs w:val="20"/>
                <w:lang w:val="nl-NL"/>
              </w:rPr>
              <w:t xml:space="preserve">trekken samen op met Onderwijs als het gaat om </w:t>
            </w:r>
            <w:r w:rsidR="00865A3F" w:rsidRPr="00760ACA">
              <w:rPr>
                <w:rFonts w:asciiTheme="majorHAnsi" w:hAnsiTheme="majorHAnsi" w:cstheme="majorHAnsi"/>
                <w:sz w:val="20"/>
                <w:szCs w:val="20"/>
                <w:lang w:val="nl-NL"/>
              </w:rPr>
              <w:t>onderwijs</w:t>
            </w:r>
            <w:r w:rsidRPr="00760ACA">
              <w:rPr>
                <w:rFonts w:asciiTheme="majorHAnsi" w:hAnsiTheme="majorHAnsi" w:cstheme="majorHAnsi"/>
                <w:sz w:val="20"/>
                <w:szCs w:val="20"/>
                <w:lang w:val="nl-NL"/>
              </w:rPr>
              <w:t>; de route naar ondersteuning via SWV is bij hen bekend.</w:t>
            </w:r>
          </w:p>
        </w:tc>
        <w:tc>
          <w:tcPr>
            <w:tcW w:w="2268" w:type="dxa"/>
            <w:tcBorders>
              <w:top w:val="single" w:sz="4" w:space="0" w:color="auto"/>
            </w:tcBorders>
          </w:tcPr>
          <w:p w14:paraId="7B91EF6C"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Aantal gemelde casussen met vroegtijdige afstemming; bevindingen uit overleg met JGZ en VVE.</w:t>
            </w:r>
          </w:p>
        </w:tc>
        <w:tc>
          <w:tcPr>
            <w:tcW w:w="1984" w:type="dxa"/>
            <w:tcBorders>
              <w:top w:val="single" w:sz="4" w:space="0" w:color="auto"/>
            </w:tcBorders>
          </w:tcPr>
          <w:p w14:paraId="289B097B"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Jaarlijks afstemmingsoverleg met JGZ en VVE-partners; regiegroep/OOGO.</w:t>
            </w:r>
          </w:p>
        </w:tc>
        <w:tc>
          <w:tcPr>
            <w:tcW w:w="2127" w:type="dxa"/>
            <w:tcBorders>
              <w:top w:val="single" w:sz="4" w:space="0" w:color="auto"/>
            </w:tcBorders>
          </w:tcPr>
          <w:p w14:paraId="5EC78847"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Verslagen OOGO/regiegroep, afsprakenkaders onderwijs–jeugdhulp.</w:t>
            </w:r>
          </w:p>
        </w:tc>
        <w:tc>
          <w:tcPr>
            <w:tcW w:w="1701" w:type="dxa"/>
            <w:tcBorders>
              <w:top w:val="single" w:sz="4" w:space="0" w:color="auto"/>
            </w:tcBorders>
          </w:tcPr>
          <w:p w14:paraId="27C3E868" w14:textId="77777777" w:rsidR="001163DA" w:rsidRPr="00760ACA" w:rsidRDefault="00170A6C">
            <w:pPr>
              <w:rPr>
                <w:rFonts w:asciiTheme="majorHAnsi" w:hAnsiTheme="majorHAnsi" w:cstheme="majorHAnsi"/>
                <w:sz w:val="20"/>
                <w:szCs w:val="20"/>
                <w:lang w:val="nl-NL"/>
              </w:rPr>
            </w:pPr>
            <w:r w:rsidRPr="00760ACA">
              <w:rPr>
                <w:rFonts w:asciiTheme="majorHAnsi" w:hAnsiTheme="majorHAnsi" w:cstheme="majorHAnsi"/>
                <w:sz w:val="20"/>
                <w:szCs w:val="20"/>
                <w:lang w:val="nl-NL"/>
              </w:rPr>
              <w:t>Beleid, NWG jonge kind, bestuurder.</w:t>
            </w:r>
          </w:p>
        </w:tc>
      </w:tr>
    </w:tbl>
    <w:p w14:paraId="2A6B977F" w14:textId="77777777" w:rsidR="000E6774" w:rsidRDefault="000E6774">
      <w:pPr>
        <w:pStyle w:val="Kop2"/>
        <w:rPr>
          <w:rFonts w:cstheme="majorHAnsi"/>
          <w:sz w:val="22"/>
          <w:szCs w:val="22"/>
          <w:lang w:val="nl-NL"/>
        </w:rPr>
      </w:pPr>
    </w:p>
    <w:p w14:paraId="79E21EE0" w14:textId="77777777" w:rsidR="000E6774" w:rsidRPr="000E6774" w:rsidRDefault="00170A6C" w:rsidP="000E6774">
      <w:pPr>
        <w:pStyle w:val="Geenafstand"/>
        <w:rPr>
          <w:rFonts w:asciiTheme="majorHAnsi" w:hAnsiTheme="majorHAnsi" w:cstheme="majorHAnsi"/>
          <w:b/>
          <w:bCs/>
          <w:sz w:val="24"/>
          <w:szCs w:val="24"/>
          <w:lang w:val="nl-NL"/>
        </w:rPr>
      </w:pPr>
      <w:r w:rsidRPr="000E6774">
        <w:rPr>
          <w:rFonts w:asciiTheme="majorHAnsi" w:hAnsiTheme="majorHAnsi" w:cstheme="majorHAnsi"/>
          <w:b/>
          <w:bCs/>
          <w:sz w:val="24"/>
          <w:szCs w:val="24"/>
          <w:lang w:val="nl-NL"/>
        </w:rPr>
        <w:t>Ambitie 3 – Sterke ondersteuningsroute</w:t>
      </w:r>
    </w:p>
    <w:p w14:paraId="7EF4DF43" w14:textId="16D8C154" w:rsidR="001163DA" w:rsidRDefault="000E6774" w:rsidP="000E6774">
      <w:pPr>
        <w:pStyle w:val="Geenafstand"/>
        <w:rPr>
          <w:rFonts w:asciiTheme="majorHAnsi" w:hAnsiTheme="majorHAnsi" w:cstheme="majorHAnsi"/>
          <w:lang w:val="nl-NL"/>
        </w:rPr>
      </w:pPr>
      <w:r>
        <w:rPr>
          <w:rFonts w:asciiTheme="majorHAnsi" w:hAnsiTheme="majorHAnsi" w:cstheme="majorHAnsi"/>
          <w:lang w:val="nl-NL"/>
        </w:rPr>
        <w:t>Ee</w:t>
      </w:r>
      <w:r w:rsidR="00170A6C" w:rsidRPr="000E6774">
        <w:rPr>
          <w:rFonts w:asciiTheme="majorHAnsi" w:hAnsiTheme="majorHAnsi" w:cstheme="majorHAnsi"/>
          <w:lang w:val="nl-NL"/>
        </w:rPr>
        <w:t>n dekkend en toekomstbestendig ondersteuningsaanbod voor alle leerlingen, met een daling van deelname aan gespecialiseerd onderwijs, sterke basisondersteuning en doelmatige inzet van middelen.</w:t>
      </w:r>
    </w:p>
    <w:p w14:paraId="79D52DCB" w14:textId="77777777" w:rsidR="000E6774" w:rsidRDefault="000E6774" w:rsidP="000E6774">
      <w:pPr>
        <w:pStyle w:val="Geenafstand"/>
        <w:rPr>
          <w:rFonts w:asciiTheme="majorHAnsi" w:hAnsiTheme="majorHAnsi" w:cstheme="majorHAnsi"/>
          <w:lang w:val="nl-NL"/>
        </w:rPr>
      </w:pPr>
    </w:p>
    <w:p w14:paraId="12BF99CD" w14:textId="77777777" w:rsidR="000E6774" w:rsidRPr="000E6774" w:rsidRDefault="000E6774" w:rsidP="000E6774">
      <w:pPr>
        <w:pStyle w:val="Geenafstand"/>
        <w:rPr>
          <w:rFonts w:asciiTheme="majorHAnsi" w:hAnsiTheme="majorHAnsi" w:cstheme="majorHAnsi"/>
          <w:lang w:val="nl-NL"/>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544"/>
        <w:gridCol w:w="2268"/>
        <w:gridCol w:w="1984"/>
        <w:gridCol w:w="2127"/>
        <w:gridCol w:w="1701"/>
      </w:tblGrid>
      <w:tr w:rsidR="000E6774" w:rsidRPr="000E6774" w14:paraId="6F911D82" w14:textId="77777777" w:rsidTr="00067A4F">
        <w:tc>
          <w:tcPr>
            <w:tcW w:w="2405" w:type="dxa"/>
          </w:tcPr>
          <w:p w14:paraId="1326169D" w14:textId="77777777" w:rsidR="001163DA" w:rsidRPr="000E6774" w:rsidRDefault="00170A6C">
            <w:pPr>
              <w:rPr>
                <w:rFonts w:asciiTheme="majorHAnsi" w:hAnsiTheme="majorHAnsi" w:cstheme="majorHAnsi"/>
                <w:b/>
                <w:bCs/>
                <w:lang w:val="nl-NL"/>
              </w:rPr>
            </w:pPr>
            <w:r w:rsidRPr="000E6774">
              <w:rPr>
                <w:rFonts w:asciiTheme="majorHAnsi" w:hAnsiTheme="majorHAnsi" w:cstheme="majorHAnsi"/>
                <w:b/>
                <w:bCs/>
                <w:lang w:val="nl-NL"/>
              </w:rPr>
              <w:t>Doel</w:t>
            </w:r>
          </w:p>
        </w:tc>
        <w:tc>
          <w:tcPr>
            <w:tcW w:w="3544" w:type="dxa"/>
          </w:tcPr>
          <w:p w14:paraId="373E2F85" w14:textId="77777777" w:rsidR="001163DA" w:rsidRPr="000E6774" w:rsidRDefault="00170A6C">
            <w:pPr>
              <w:rPr>
                <w:rFonts w:asciiTheme="majorHAnsi" w:hAnsiTheme="majorHAnsi" w:cstheme="majorHAnsi"/>
                <w:b/>
                <w:bCs/>
                <w:lang w:val="nl-NL"/>
              </w:rPr>
            </w:pPr>
            <w:r w:rsidRPr="000E6774">
              <w:rPr>
                <w:rFonts w:asciiTheme="majorHAnsi" w:hAnsiTheme="majorHAnsi" w:cstheme="majorHAnsi"/>
                <w:b/>
                <w:bCs/>
                <w:lang w:val="nl-NL"/>
              </w:rPr>
              <w:t>Resultaat 2026</w:t>
            </w:r>
          </w:p>
        </w:tc>
        <w:tc>
          <w:tcPr>
            <w:tcW w:w="2268" w:type="dxa"/>
          </w:tcPr>
          <w:p w14:paraId="67B1DAC7" w14:textId="77777777" w:rsidR="001163DA" w:rsidRPr="000E6774" w:rsidRDefault="00170A6C">
            <w:pPr>
              <w:rPr>
                <w:rFonts w:asciiTheme="majorHAnsi" w:hAnsiTheme="majorHAnsi" w:cstheme="majorHAnsi"/>
                <w:b/>
                <w:bCs/>
                <w:lang w:val="nl-NL"/>
              </w:rPr>
            </w:pPr>
            <w:r w:rsidRPr="000E6774">
              <w:rPr>
                <w:rFonts w:asciiTheme="majorHAnsi" w:hAnsiTheme="majorHAnsi" w:cstheme="majorHAnsi"/>
                <w:b/>
                <w:bCs/>
                <w:lang w:val="nl-NL"/>
              </w:rPr>
              <w:t>Indicator(en)</w:t>
            </w:r>
          </w:p>
        </w:tc>
        <w:tc>
          <w:tcPr>
            <w:tcW w:w="1984" w:type="dxa"/>
          </w:tcPr>
          <w:p w14:paraId="2D22FFDA" w14:textId="77777777" w:rsidR="001163DA" w:rsidRPr="000E6774" w:rsidRDefault="00170A6C">
            <w:pPr>
              <w:rPr>
                <w:rFonts w:asciiTheme="majorHAnsi" w:hAnsiTheme="majorHAnsi" w:cstheme="majorHAnsi"/>
                <w:b/>
                <w:bCs/>
                <w:lang w:val="nl-NL"/>
              </w:rPr>
            </w:pPr>
            <w:r w:rsidRPr="000E6774">
              <w:rPr>
                <w:rFonts w:asciiTheme="majorHAnsi" w:hAnsiTheme="majorHAnsi" w:cstheme="majorHAnsi"/>
                <w:b/>
                <w:bCs/>
                <w:lang w:val="nl-NL"/>
              </w:rPr>
              <w:t>Meetmoment(en)</w:t>
            </w:r>
          </w:p>
        </w:tc>
        <w:tc>
          <w:tcPr>
            <w:tcW w:w="2127" w:type="dxa"/>
          </w:tcPr>
          <w:p w14:paraId="32BE15D4" w14:textId="77777777" w:rsidR="001163DA" w:rsidRPr="000E6774" w:rsidRDefault="00170A6C">
            <w:pPr>
              <w:rPr>
                <w:rFonts w:asciiTheme="majorHAnsi" w:hAnsiTheme="majorHAnsi" w:cstheme="majorHAnsi"/>
                <w:b/>
                <w:bCs/>
                <w:lang w:val="nl-NL"/>
              </w:rPr>
            </w:pPr>
            <w:r w:rsidRPr="000E6774">
              <w:rPr>
                <w:rFonts w:asciiTheme="majorHAnsi" w:hAnsiTheme="majorHAnsi" w:cstheme="majorHAnsi"/>
                <w:b/>
                <w:bCs/>
                <w:lang w:val="nl-NL"/>
              </w:rPr>
              <w:t>Instrument</w:t>
            </w:r>
          </w:p>
        </w:tc>
        <w:tc>
          <w:tcPr>
            <w:tcW w:w="1701" w:type="dxa"/>
          </w:tcPr>
          <w:p w14:paraId="4158325E" w14:textId="77777777" w:rsidR="001163DA" w:rsidRPr="000E6774" w:rsidRDefault="00170A6C">
            <w:pPr>
              <w:rPr>
                <w:rFonts w:asciiTheme="majorHAnsi" w:hAnsiTheme="majorHAnsi" w:cstheme="majorHAnsi"/>
                <w:b/>
                <w:bCs/>
                <w:lang w:val="nl-NL"/>
              </w:rPr>
            </w:pPr>
            <w:r w:rsidRPr="000E6774">
              <w:rPr>
                <w:rFonts w:asciiTheme="majorHAnsi" w:hAnsiTheme="majorHAnsi" w:cstheme="majorHAnsi"/>
                <w:b/>
                <w:bCs/>
                <w:lang w:val="nl-NL"/>
              </w:rPr>
              <w:t>Verbinder</w:t>
            </w:r>
          </w:p>
        </w:tc>
      </w:tr>
      <w:tr w:rsidR="000E6774" w:rsidRPr="00B15C60" w14:paraId="5BA36487" w14:textId="77777777" w:rsidTr="00067A4F">
        <w:tc>
          <w:tcPr>
            <w:tcW w:w="2405" w:type="dxa"/>
          </w:tcPr>
          <w:p w14:paraId="2D25EA81"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Deelname gespecialiseerd onderwijs daalt in lijn met doelen inclusief onderwijs 2035.</w:t>
            </w:r>
          </w:p>
        </w:tc>
        <w:tc>
          <w:tcPr>
            <w:tcW w:w="3544" w:type="dxa"/>
          </w:tcPr>
          <w:p w14:paraId="22A22E75"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Deelname aan GO daalt van 3,63% (580 leerlingen) naar 3,41% (544 leerlingen); minimaal 8 leerlingen stromen terug naar regulier onderwijs.</w:t>
            </w:r>
          </w:p>
        </w:tc>
        <w:tc>
          <w:tcPr>
            <w:tcW w:w="2268" w:type="dxa"/>
          </w:tcPr>
          <w:p w14:paraId="42DCFEF1"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Percentage leerlingen in GO; aantal nieuwe TLV’s; aantal terugplaatsingen.</w:t>
            </w:r>
          </w:p>
        </w:tc>
        <w:tc>
          <w:tcPr>
            <w:tcW w:w="1984" w:type="dxa"/>
          </w:tcPr>
          <w:p w14:paraId="332D457C"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TLV-commissie (3x per jaar); MARAP 1, 2 en 3; jaarverslag.</w:t>
            </w:r>
          </w:p>
        </w:tc>
        <w:tc>
          <w:tcPr>
            <w:tcW w:w="2127" w:type="dxa"/>
          </w:tcPr>
          <w:p w14:paraId="6ACF6908"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TLV-dashboard, trendanalyse leerlingstromen, jaarverslag.</w:t>
            </w:r>
          </w:p>
        </w:tc>
        <w:tc>
          <w:tcPr>
            <w:tcW w:w="1701" w:type="dxa"/>
          </w:tcPr>
          <w:p w14:paraId="31FD4095"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Controller, terugplaatsingscoördinator, TLV-commissie, bestuurder.</w:t>
            </w:r>
          </w:p>
        </w:tc>
      </w:tr>
      <w:tr w:rsidR="000E6774" w:rsidRPr="00B15C60" w14:paraId="7DD70853" w14:textId="77777777" w:rsidTr="00067A4F">
        <w:tc>
          <w:tcPr>
            <w:tcW w:w="2405" w:type="dxa"/>
          </w:tcPr>
          <w:p w14:paraId="26546510"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Basisondersteuning is op alle scholen op niveau.</w:t>
            </w:r>
          </w:p>
        </w:tc>
        <w:tc>
          <w:tcPr>
            <w:tcW w:w="3544" w:type="dxa"/>
          </w:tcPr>
          <w:p w14:paraId="0EB5DE5F"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 xml:space="preserve">Alle scholen voldoen </w:t>
            </w:r>
            <w:r w:rsidRPr="004C4B16">
              <w:rPr>
                <w:rFonts w:asciiTheme="majorHAnsi" w:hAnsiTheme="majorHAnsi" w:cstheme="majorHAnsi"/>
                <w:b/>
                <w:bCs/>
                <w:sz w:val="20"/>
                <w:szCs w:val="20"/>
                <w:lang w:val="nl-NL"/>
              </w:rPr>
              <w:t>minimaal aan 87% van de afspraken basisondersteuning;</w:t>
            </w:r>
            <w:r w:rsidRPr="000E6774">
              <w:rPr>
                <w:rFonts w:asciiTheme="majorHAnsi" w:hAnsiTheme="majorHAnsi" w:cstheme="majorHAnsi"/>
                <w:sz w:val="20"/>
                <w:szCs w:val="20"/>
                <w:lang w:val="nl-NL"/>
              </w:rPr>
              <w:t xml:space="preserve"> het handboek basis- en extra ondersteuning is vastgesteld en in gebruik.</w:t>
            </w:r>
          </w:p>
        </w:tc>
        <w:tc>
          <w:tcPr>
            <w:tcW w:w="2268" w:type="dxa"/>
          </w:tcPr>
          <w:p w14:paraId="7220A7E5"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Zelfevaluaties basisondersteuning (POS/Bloom); bevindingen consulenten; gebruik handboek.</w:t>
            </w:r>
          </w:p>
        </w:tc>
        <w:tc>
          <w:tcPr>
            <w:tcW w:w="1984" w:type="dxa"/>
          </w:tcPr>
          <w:p w14:paraId="69D5DDAC"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POS-uitvraag scholen (voorjaar en najaar); schoolgesprekken consulenten; bestuursgesprekken.</w:t>
            </w:r>
          </w:p>
        </w:tc>
        <w:tc>
          <w:tcPr>
            <w:tcW w:w="2127" w:type="dxa"/>
          </w:tcPr>
          <w:p w14:paraId="4CA5F576"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POS/Bloom, handboek basisondersteuning, verslagen consulenten.</w:t>
            </w:r>
          </w:p>
        </w:tc>
        <w:tc>
          <w:tcPr>
            <w:tcW w:w="1701" w:type="dxa"/>
          </w:tcPr>
          <w:p w14:paraId="15C691E0"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Consulenten, specialisten, beleid.</w:t>
            </w:r>
          </w:p>
        </w:tc>
      </w:tr>
      <w:tr w:rsidR="000E6774" w:rsidRPr="00B15C60" w14:paraId="5F5F7508" w14:textId="77777777" w:rsidTr="00067A4F">
        <w:tc>
          <w:tcPr>
            <w:tcW w:w="2405" w:type="dxa"/>
          </w:tcPr>
          <w:p w14:paraId="3D676312"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Arrangementen en voorzieningen sluiten aan bij de inclusiebeweging en zijn financieel doelmatig.</w:t>
            </w:r>
          </w:p>
        </w:tc>
        <w:tc>
          <w:tcPr>
            <w:tcW w:w="3544" w:type="dxa"/>
          </w:tcPr>
          <w:p w14:paraId="42507A63" w14:textId="1964A1B0"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 xml:space="preserve">Herijkt </w:t>
            </w:r>
            <w:r w:rsidR="004C4B16">
              <w:rPr>
                <w:rFonts w:asciiTheme="majorHAnsi" w:hAnsiTheme="majorHAnsi" w:cstheme="majorHAnsi"/>
                <w:sz w:val="20"/>
                <w:szCs w:val="20"/>
                <w:lang w:val="nl-NL"/>
              </w:rPr>
              <w:t xml:space="preserve">kader </w:t>
            </w:r>
            <w:r w:rsidRPr="000E6774">
              <w:rPr>
                <w:rFonts w:asciiTheme="majorHAnsi" w:hAnsiTheme="majorHAnsi" w:cstheme="majorHAnsi"/>
                <w:sz w:val="20"/>
                <w:szCs w:val="20"/>
                <w:lang w:val="nl-NL"/>
              </w:rPr>
              <w:t>arrangemente</w:t>
            </w:r>
            <w:r w:rsidR="004C4B16">
              <w:rPr>
                <w:rFonts w:asciiTheme="majorHAnsi" w:hAnsiTheme="majorHAnsi" w:cstheme="majorHAnsi"/>
                <w:sz w:val="20"/>
                <w:szCs w:val="20"/>
                <w:lang w:val="nl-NL"/>
              </w:rPr>
              <w:t>n/ voorzieningen</w:t>
            </w:r>
            <w:r w:rsidRPr="000E6774">
              <w:rPr>
                <w:rFonts w:asciiTheme="majorHAnsi" w:hAnsiTheme="majorHAnsi" w:cstheme="majorHAnsi"/>
                <w:sz w:val="20"/>
                <w:szCs w:val="20"/>
                <w:lang w:val="nl-NL"/>
              </w:rPr>
              <w:t xml:space="preserve"> is vastgesteld; 100% van de voorzieningen is inhoudelijk en </w:t>
            </w:r>
            <w:r w:rsidRPr="000E6774">
              <w:rPr>
                <w:rFonts w:asciiTheme="majorHAnsi" w:hAnsiTheme="majorHAnsi" w:cstheme="majorHAnsi"/>
                <w:sz w:val="20"/>
                <w:szCs w:val="20"/>
                <w:lang w:val="nl-NL"/>
              </w:rPr>
              <w:lastRenderedPageBreak/>
              <w:t>financieel geëvalueerd op bijdrage aan inclusie en kosteneffectiviteit.</w:t>
            </w:r>
          </w:p>
        </w:tc>
        <w:tc>
          <w:tcPr>
            <w:tcW w:w="2268" w:type="dxa"/>
          </w:tcPr>
          <w:p w14:paraId="2474016E"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lastRenderedPageBreak/>
              <w:t xml:space="preserve">Beschikbaar herijkt stelsel; evaluaties per voorziening; verhouding </w:t>
            </w:r>
            <w:r w:rsidRPr="000E6774">
              <w:rPr>
                <w:rFonts w:asciiTheme="majorHAnsi" w:hAnsiTheme="majorHAnsi" w:cstheme="majorHAnsi"/>
                <w:sz w:val="20"/>
                <w:szCs w:val="20"/>
                <w:lang w:val="nl-NL"/>
              </w:rPr>
              <w:lastRenderedPageBreak/>
              <w:t xml:space="preserve">kosten/leerling </w:t>
            </w:r>
            <w:proofErr w:type="spellStart"/>
            <w:r w:rsidRPr="000E6774">
              <w:rPr>
                <w:rFonts w:asciiTheme="majorHAnsi" w:hAnsiTheme="majorHAnsi" w:cstheme="majorHAnsi"/>
                <w:sz w:val="20"/>
                <w:szCs w:val="20"/>
                <w:lang w:val="nl-NL"/>
              </w:rPr>
              <w:t>vs</w:t>
            </w:r>
            <w:proofErr w:type="spellEnd"/>
            <w:r w:rsidRPr="000E6774">
              <w:rPr>
                <w:rFonts w:asciiTheme="majorHAnsi" w:hAnsiTheme="majorHAnsi" w:cstheme="majorHAnsi"/>
                <w:sz w:val="20"/>
                <w:szCs w:val="20"/>
                <w:lang w:val="nl-NL"/>
              </w:rPr>
              <w:t xml:space="preserve"> TLV-waarden.</w:t>
            </w:r>
          </w:p>
        </w:tc>
        <w:tc>
          <w:tcPr>
            <w:tcW w:w="1984" w:type="dxa"/>
          </w:tcPr>
          <w:p w14:paraId="1167AE28"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lastRenderedPageBreak/>
              <w:t>Cie. Financiën (najaar); MARAP 2 en 3; jaarverslag en jaarrekening.</w:t>
            </w:r>
          </w:p>
        </w:tc>
        <w:tc>
          <w:tcPr>
            <w:tcW w:w="2127" w:type="dxa"/>
          </w:tcPr>
          <w:p w14:paraId="5190FC29"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Voorzieningenevaluaties, financiële analyses, begroting en jaarrekening.</w:t>
            </w:r>
          </w:p>
        </w:tc>
        <w:tc>
          <w:tcPr>
            <w:tcW w:w="1701" w:type="dxa"/>
          </w:tcPr>
          <w:p w14:paraId="4226A39C"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Controller, beleid, Cie. Financiën, bestuurder.</w:t>
            </w:r>
          </w:p>
        </w:tc>
      </w:tr>
      <w:tr w:rsidR="000E6774" w:rsidRPr="00B15C60" w14:paraId="252CA98A" w14:textId="77777777" w:rsidTr="00067A4F">
        <w:tc>
          <w:tcPr>
            <w:tcW w:w="2405" w:type="dxa"/>
          </w:tcPr>
          <w:p w14:paraId="6C199A2E"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Onderwijszorgaanbod voor specifieke doelgroepen is duidelijk en dekkend.</w:t>
            </w:r>
          </w:p>
        </w:tc>
        <w:tc>
          <w:tcPr>
            <w:tcW w:w="3544" w:type="dxa"/>
          </w:tcPr>
          <w:p w14:paraId="2D3CD498" w14:textId="4E341C50"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 xml:space="preserve">Voor leerlingen met HB-profiel, moeilijk leren en intensieve gedrags- of structuurbehoeften is per doelgroep een passend aanbod beschreven en ingericht (incl. startklassen, Opmaatklas, </w:t>
            </w:r>
            <w:r w:rsidR="00236B00">
              <w:rPr>
                <w:rFonts w:asciiTheme="majorHAnsi" w:hAnsiTheme="majorHAnsi" w:cstheme="majorHAnsi"/>
                <w:sz w:val="20"/>
                <w:szCs w:val="20"/>
                <w:lang w:val="nl-NL"/>
              </w:rPr>
              <w:t xml:space="preserve">aanbod oefenlokaal, </w:t>
            </w:r>
            <w:r w:rsidRPr="000E6774">
              <w:rPr>
                <w:rFonts w:asciiTheme="majorHAnsi" w:hAnsiTheme="majorHAnsi" w:cstheme="majorHAnsi"/>
                <w:sz w:val="20"/>
                <w:szCs w:val="20"/>
                <w:lang w:val="nl-NL"/>
              </w:rPr>
              <w:t>DWS, praktijkklassen).</w:t>
            </w:r>
          </w:p>
        </w:tc>
        <w:tc>
          <w:tcPr>
            <w:tcW w:w="2268" w:type="dxa"/>
          </w:tcPr>
          <w:p w14:paraId="11B484B1"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Beschreven doelgroepaanbod; aantal leerlingen in voorzieningen; uitstroomgegevens.</w:t>
            </w:r>
          </w:p>
        </w:tc>
        <w:tc>
          <w:tcPr>
            <w:tcW w:w="1984" w:type="dxa"/>
          </w:tcPr>
          <w:p w14:paraId="555339FD"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Evaluaties voorzieningen (jaarlijks); NWG HB/gedrag/leren; MARAP.</w:t>
            </w:r>
          </w:p>
        </w:tc>
        <w:tc>
          <w:tcPr>
            <w:tcW w:w="2127" w:type="dxa"/>
          </w:tcPr>
          <w:p w14:paraId="74E487E2" w14:textId="77777777"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Overzicht voorzieningen, beleidsnotities doelgroepaanbod, trendanalyse leerlingstromen.</w:t>
            </w:r>
          </w:p>
        </w:tc>
        <w:tc>
          <w:tcPr>
            <w:tcW w:w="1701" w:type="dxa"/>
          </w:tcPr>
          <w:p w14:paraId="7E3DD54B" w14:textId="22A35A48" w:rsidR="001163DA" w:rsidRPr="000E6774" w:rsidRDefault="00170A6C">
            <w:pPr>
              <w:rPr>
                <w:rFonts w:asciiTheme="majorHAnsi" w:hAnsiTheme="majorHAnsi" w:cstheme="majorHAnsi"/>
                <w:sz w:val="20"/>
                <w:szCs w:val="20"/>
                <w:lang w:val="nl-NL"/>
              </w:rPr>
            </w:pPr>
            <w:r w:rsidRPr="000E6774">
              <w:rPr>
                <w:rFonts w:asciiTheme="majorHAnsi" w:hAnsiTheme="majorHAnsi" w:cstheme="majorHAnsi"/>
                <w:sz w:val="20"/>
                <w:szCs w:val="20"/>
                <w:lang w:val="nl-NL"/>
              </w:rPr>
              <w:t xml:space="preserve">Beleid, NWG HB, </w:t>
            </w:r>
            <w:r w:rsidR="004C4B16" w:rsidRPr="000E6774">
              <w:rPr>
                <w:rFonts w:asciiTheme="majorHAnsi" w:hAnsiTheme="majorHAnsi" w:cstheme="majorHAnsi"/>
                <w:sz w:val="20"/>
                <w:szCs w:val="20"/>
                <w:lang w:val="nl-NL"/>
              </w:rPr>
              <w:t>NWG-gedrag</w:t>
            </w:r>
            <w:r w:rsidRPr="000E6774">
              <w:rPr>
                <w:rFonts w:asciiTheme="majorHAnsi" w:hAnsiTheme="majorHAnsi" w:cstheme="majorHAnsi"/>
                <w:sz w:val="20"/>
                <w:szCs w:val="20"/>
                <w:lang w:val="nl-NL"/>
              </w:rPr>
              <w:t>, NWG leren, bestuurder.</w:t>
            </w:r>
          </w:p>
        </w:tc>
      </w:tr>
    </w:tbl>
    <w:p w14:paraId="4A650E32" w14:textId="77777777" w:rsidR="000E6774" w:rsidRDefault="000E6774" w:rsidP="000E6774">
      <w:pPr>
        <w:pStyle w:val="Kop2"/>
        <w:rPr>
          <w:rFonts w:cstheme="majorHAnsi"/>
          <w:color w:val="auto"/>
          <w:sz w:val="24"/>
          <w:szCs w:val="24"/>
          <w:lang w:val="nl-NL"/>
        </w:rPr>
      </w:pPr>
    </w:p>
    <w:p w14:paraId="1D5411E6" w14:textId="3CD82089" w:rsidR="000E6774" w:rsidRPr="000E6774" w:rsidRDefault="000E6774" w:rsidP="000E6774">
      <w:pPr>
        <w:pStyle w:val="Kop2"/>
        <w:rPr>
          <w:rFonts w:cstheme="majorHAnsi"/>
          <w:color w:val="auto"/>
          <w:sz w:val="24"/>
          <w:szCs w:val="24"/>
          <w:lang w:val="nl-NL"/>
        </w:rPr>
      </w:pPr>
      <w:r w:rsidRPr="000E6774">
        <w:rPr>
          <w:rFonts w:cstheme="majorHAnsi"/>
          <w:color w:val="auto"/>
          <w:sz w:val="24"/>
          <w:szCs w:val="24"/>
          <w:lang w:val="nl-NL"/>
        </w:rPr>
        <w:t>Aanvulling Ambitie 3 – Sterke ondersteuningsroute</w:t>
      </w:r>
    </w:p>
    <w:p w14:paraId="44137AD0" w14:textId="3CC3B428" w:rsidR="00170A6C" w:rsidRPr="00B15C60" w:rsidRDefault="000E6774">
      <w:pPr>
        <w:rPr>
          <w:rFonts w:asciiTheme="majorHAnsi" w:hAnsiTheme="majorHAnsi" w:cstheme="majorHAnsi"/>
          <w:lang w:val="nl-NL"/>
        </w:rPr>
      </w:pPr>
      <w:r w:rsidRPr="00B15C60">
        <w:rPr>
          <w:rFonts w:asciiTheme="majorHAnsi" w:hAnsiTheme="majorHAnsi" w:cstheme="majorHAnsi"/>
          <w:lang w:val="nl-NL"/>
        </w:rPr>
        <w:t xml:space="preserve">PO–VO–VSO DOORSTROOM </w:t>
      </w:r>
      <w:r w:rsidRPr="00B15C60">
        <w:rPr>
          <w:rFonts w:asciiTheme="majorHAnsi" w:hAnsiTheme="majorHAnsi" w:cstheme="majorHAnsi"/>
          <w:lang w:val="nl-NL"/>
        </w:rPr>
        <w:br/>
      </w:r>
      <w:r w:rsidRPr="00B15C60">
        <w:rPr>
          <w:rFonts w:asciiTheme="majorHAnsi" w:hAnsiTheme="majorHAnsi" w:cstheme="majorHAnsi"/>
          <w:lang w:val="nl-NL"/>
        </w:rPr>
        <w:br/>
      </w:r>
      <w:r w:rsidRPr="000E6774">
        <w:rPr>
          <w:rFonts w:asciiTheme="majorHAnsi" w:hAnsiTheme="majorHAnsi" w:cstheme="majorHAnsi"/>
          <w:b/>
          <w:bCs/>
          <w:lang w:val="nl-NL"/>
        </w:rPr>
        <w:t>Doel</w:t>
      </w:r>
      <w:r w:rsidRPr="000E6774">
        <w:rPr>
          <w:rFonts w:asciiTheme="majorHAnsi" w:hAnsiTheme="majorHAnsi" w:cstheme="majorHAnsi"/>
          <w:b/>
          <w:bCs/>
          <w:lang w:val="nl-NL"/>
        </w:rPr>
        <w:br/>
      </w:r>
      <w:r w:rsidRPr="00B15C60">
        <w:rPr>
          <w:rFonts w:asciiTheme="majorHAnsi" w:hAnsiTheme="majorHAnsi" w:cstheme="majorHAnsi"/>
          <w:lang w:val="nl-NL"/>
        </w:rPr>
        <w:t>Leerlingen maken een soepele en passende overstap van PO naar VO (of VSO), met oog voor hun ondersteuningsbehoeften. De ondersteuningsroute is duidelijk, inclusief en gericht op duurzame plaatsingen.</w:t>
      </w:r>
      <w:r w:rsidRPr="00B15C60">
        <w:rPr>
          <w:rFonts w:asciiTheme="majorHAnsi" w:hAnsiTheme="majorHAnsi" w:cstheme="majorHAnsi"/>
          <w:lang w:val="nl-NL"/>
        </w:rPr>
        <w:br/>
      </w:r>
      <w:r w:rsidRPr="00B15C60">
        <w:rPr>
          <w:rFonts w:asciiTheme="majorHAnsi" w:hAnsiTheme="majorHAnsi" w:cstheme="majorHAnsi"/>
          <w:lang w:val="nl-NL"/>
        </w:rPr>
        <w:br/>
      </w:r>
      <w:r w:rsidRPr="000E6774">
        <w:rPr>
          <w:rFonts w:asciiTheme="majorHAnsi" w:hAnsiTheme="majorHAnsi" w:cstheme="majorHAnsi"/>
          <w:b/>
          <w:bCs/>
          <w:lang w:val="nl-NL"/>
        </w:rPr>
        <w:t>Resultaat</w:t>
      </w:r>
      <w:r w:rsidRPr="000E6774">
        <w:rPr>
          <w:rFonts w:asciiTheme="majorHAnsi" w:hAnsiTheme="majorHAnsi" w:cstheme="majorHAnsi"/>
          <w:b/>
          <w:bCs/>
          <w:lang w:val="nl-NL"/>
        </w:rPr>
        <w:br/>
      </w:r>
      <w:r w:rsidRPr="00B15C60">
        <w:rPr>
          <w:rFonts w:asciiTheme="majorHAnsi" w:hAnsiTheme="majorHAnsi" w:cstheme="majorHAnsi"/>
          <w:lang w:val="nl-NL"/>
        </w:rPr>
        <w:t>Een gezamenlijke werkwijze binnen PO–VO–VSO waarbij data, beleid en praktijk samenkomen. Leerlingen met extra ondersteuningsbehoeften krijgen tijdige en passende begeleiding. Er is meer zicht op doorstroom en succesfactoren bij overstaptrajecten.</w:t>
      </w:r>
      <w:r w:rsidRPr="00B15C60">
        <w:rPr>
          <w:rFonts w:asciiTheme="majorHAnsi" w:hAnsiTheme="majorHAnsi" w:cstheme="majorHAnsi"/>
          <w:lang w:val="nl-NL"/>
        </w:rPr>
        <w:br/>
      </w:r>
      <w:r w:rsidRPr="00B15C60">
        <w:rPr>
          <w:rFonts w:asciiTheme="majorHAnsi" w:hAnsiTheme="majorHAnsi" w:cstheme="majorHAnsi"/>
          <w:lang w:val="nl-NL"/>
        </w:rPr>
        <w:br/>
      </w:r>
      <w:r w:rsidRPr="000E6774">
        <w:rPr>
          <w:rFonts w:asciiTheme="majorHAnsi" w:hAnsiTheme="majorHAnsi" w:cstheme="majorHAnsi"/>
          <w:b/>
          <w:bCs/>
          <w:lang w:val="nl-NL"/>
        </w:rPr>
        <w:t>Verbinder</w:t>
      </w:r>
      <w:r w:rsidRPr="00B15C60">
        <w:rPr>
          <w:rFonts w:asciiTheme="majorHAnsi" w:hAnsiTheme="majorHAnsi" w:cstheme="majorHAnsi"/>
          <w:lang w:val="nl-NL"/>
        </w:rPr>
        <w:br/>
        <w:t>Beleid, Consulenten, NWG Gedrag, NWG HB, SWV-coördinatoren.</w:t>
      </w:r>
      <w:r w:rsidRPr="00B15C60">
        <w:rPr>
          <w:rFonts w:asciiTheme="majorHAnsi" w:hAnsiTheme="majorHAnsi" w:cstheme="majorHAnsi"/>
          <w:lang w:val="nl-NL"/>
        </w:rPr>
        <w:br/>
      </w:r>
      <w:r w:rsidRPr="00B15C60">
        <w:rPr>
          <w:rFonts w:asciiTheme="majorHAnsi" w:hAnsiTheme="majorHAnsi" w:cstheme="majorHAnsi"/>
          <w:lang w:val="nl-NL"/>
        </w:rPr>
        <w:br/>
      </w:r>
      <w:r w:rsidRPr="000E6774">
        <w:rPr>
          <w:rFonts w:asciiTheme="majorHAnsi" w:hAnsiTheme="majorHAnsi" w:cstheme="majorHAnsi"/>
          <w:b/>
          <w:bCs/>
          <w:lang w:val="nl-NL"/>
        </w:rPr>
        <w:t>Acties</w:t>
      </w:r>
      <w:r w:rsidRPr="00B15C60">
        <w:rPr>
          <w:rFonts w:asciiTheme="majorHAnsi" w:hAnsiTheme="majorHAnsi" w:cstheme="majorHAnsi"/>
          <w:lang w:val="nl-NL"/>
        </w:rPr>
        <w:br/>
        <w:t>• Analyseren van instroom en uitstroom (doorstroom) van SO/SBO-leerlingen naar regulier VO, inclusief profiel en succesfactoren.</w:t>
      </w:r>
      <w:r w:rsidRPr="00B15C60">
        <w:rPr>
          <w:rFonts w:asciiTheme="majorHAnsi" w:hAnsiTheme="majorHAnsi" w:cstheme="majorHAnsi"/>
          <w:lang w:val="nl-NL"/>
        </w:rPr>
        <w:br/>
        <w:t>• Gesprek voeren met SWV VO over hoe leerlingen die eerder in het GO zaten, zich ontwikkelen in regulier VO.</w:t>
      </w:r>
    </w:p>
    <w:sectPr w:rsidR="00170A6C" w:rsidRPr="00B15C60" w:rsidSect="000E6774">
      <w:headerReference w:type="default" r:id="rId11"/>
      <w:footerReference w:type="default" r:id="rId12"/>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A86E" w14:textId="77777777" w:rsidR="00B15C60" w:rsidRDefault="00B15C60" w:rsidP="00B15C60">
      <w:pPr>
        <w:spacing w:after="0" w:line="240" w:lineRule="auto"/>
      </w:pPr>
      <w:r>
        <w:separator/>
      </w:r>
    </w:p>
  </w:endnote>
  <w:endnote w:type="continuationSeparator" w:id="0">
    <w:p w14:paraId="429C5B14" w14:textId="77777777" w:rsidR="00B15C60" w:rsidRDefault="00B15C60" w:rsidP="00B15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695203"/>
      <w:docPartObj>
        <w:docPartGallery w:val="Page Numbers (Bottom of Page)"/>
        <w:docPartUnique/>
      </w:docPartObj>
    </w:sdtPr>
    <w:sdtEndPr/>
    <w:sdtContent>
      <w:p w14:paraId="3E27C702" w14:textId="4EC5F025" w:rsidR="00B15C60" w:rsidRDefault="00B15C60">
        <w:pPr>
          <w:pStyle w:val="Voettekst"/>
          <w:jc w:val="right"/>
        </w:pPr>
        <w:r>
          <w:fldChar w:fldCharType="begin"/>
        </w:r>
        <w:r>
          <w:instrText>PAGE   \* MERGEFORMAT</w:instrText>
        </w:r>
        <w:r>
          <w:fldChar w:fldCharType="separate"/>
        </w:r>
        <w:r>
          <w:rPr>
            <w:lang w:val="nl-NL"/>
          </w:rPr>
          <w:t>2</w:t>
        </w:r>
        <w:r>
          <w:fldChar w:fldCharType="end"/>
        </w:r>
      </w:p>
    </w:sdtContent>
  </w:sdt>
  <w:p w14:paraId="4259E25C" w14:textId="77777777" w:rsidR="00B15C60" w:rsidRDefault="00B15C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3E570" w14:textId="77777777" w:rsidR="00B15C60" w:rsidRDefault="00B15C60" w:rsidP="00B15C60">
      <w:pPr>
        <w:spacing w:after="0" w:line="240" w:lineRule="auto"/>
      </w:pPr>
      <w:r>
        <w:separator/>
      </w:r>
    </w:p>
  </w:footnote>
  <w:footnote w:type="continuationSeparator" w:id="0">
    <w:p w14:paraId="09359130" w14:textId="77777777" w:rsidR="00B15C60" w:rsidRDefault="00B15C60" w:rsidP="00B15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159F" w14:textId="0ADD5419" w:rsidR="00B15C60" w:rsidRDefault="00B15C60">
    <w:pPr>
      <w:pStyle w:val="Koptekst"/>
    </w:pPr>
    <w:r>
      <w:rPr>
        <w:rFonts w:ascii="Times New Roman" w:hAnsi="Times New Roman" w:cs="Times New Roman"/>
        <w:noProof/>
        <w:color w:val="000000"/>
        <w:sz w:val="27"/>
        <w:szCs w:val="27"/>
        <w:lang w:eastAsia="nl-NL"/>
      </w:rPr>
      <w:drawing>
        <wp:inline distT="0" distB="0" distL="0" distR="0" wp14:anchorId="4347A0B4" wp14:editId="1C935A96">
          <wp:extent cx="1905000" cy="563880"/>
          <wp:effectExtent l="0" t="0" r="0" b="7620"/>
          <wp:docPr id="847168438" name="Afbeelding 1" descr="Afbeelding met cirkel, Graphics, Kleurrijkheid,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68438" name="Afbeelding 1" descr="Afbeelding met cirkel, Graphics, Kleurrijkheid, schermopname&#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0" cy="563880"/>
                  </a:xfrm>
                  <a:prstGeom prst="rect">
                    <a:avLst/>
                  </a:prstGeom>
                  <a:noFill/>
                  <a:ln>
                    <a:noFill/>
                  </a:ln>
                </pic:spPr>
              </pic:pic>
            </a:graphicData>
          </a:graphic>
        </wp:inline>
      </w:drawing>
    </w:r>
    <w:r w:rsidRPr="00B15C60">
      <w:rPr>
        <w:rFonts w:ascii="Times New Roman" w:hAnsi="Times New Roman" w:cs="Times New Roman"/>
        <w:color w:val="000000"/>
        <w:sz w:val="27"/>
        <w:szCs w:val="27"/>
        <w:lang w:eastAsia="nl-NL"/>
      </w:rPr>
      <w:t xml:space="preserve"> </w:t>
    </w:r>
    <w:r>
      <w:rPr>
        <w:rFonts w:ascii="Times New Roman" w:hAnsi="Times New Roman" w:cs="Times New Roman"/>
        <w:noProof/>
        <w:color w:val="000000"/>
        <w:sz w:val="27"/>
        <w:szCs w:val="27"/>
        <w:lang w:eastAsia="nl-NL"/>
      </w:rPr>
      <w:drawing>
        <wp:inline distT="0" distB="0" distL="0" distR="0" wp14:anchorId="53571C56" wp14:editId="7F79ACC7">
          <wp:extent cx="1165860" cy="672374"/>
          <wp:effectExtent l="0" t="0" r="0" b="0"/>
          <wp:docPr id="18157144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177480" cy="679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D1D4727"/>
    <w:multiLevelType w:val="hybridMultilevel"/>
    <w:tmpl w:val="C518A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6829213">
    <w:abstractNumId w:val="8"/>
  </w:num>
  <w:num w:numId="2" w16cid:durableId="183177759">
    <w:abstractNumId w:val="6"/>
  </w:num>
  <w:num w:numId="3" w16cid:durableId="359938444">
    <w:abstractNumId w:val="5"/>
  </w:num>
  <w:num w:numId="4" w16cid:durableId="57243603">
    <w:abstractNumId w:val="4"/>
  </w:num>
  <w:num w:numId="5" w16cid:durableId="2140801669">
    <w:abstractNumId w:val="7"/>
  </w:num>
  <w:num w:numId="6" w16cid:durableId="603079044">
    <w:abstractNumId w:val="3"/>
  </w:num>
  <w:num w:numId="7" w16cid:durableId="66079017">
    <w:abstractNumId w:val="2"/>
  </w:num>
  <w:num w:numId="8" w16cid:durableId="1910917319">
    <w:abstractNumId w:val="1"/>
  </w:num>
  <w:num w:numId="9" w16cid:durableId="527452208">
    <w:abstractNumId w:val="0"/>
  </w:num>
  <w:num w:numId="10" w16cid:durableId="20568140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A4F"/>
    <w:rsid w:val="000C72B1"/>
    <w:rsid w:val="000E6774"/>
    <w:rsid w:val="00112BFE"/>
    <w:rsid w:val="001163DA"/>
    <w:rsid w:val="0015074B"/>
    <w:rsid w:val="00170A6C"/>
    <w:rsid w:val="001C6D93"/>
    <w:rsid w:val="001D7B4A"/>
    <w:rsid w:val="00236B00"/>
    <w:rsid w:val="0029639D"/>
    <w:rsid w:val="00326F90"/>
    <w:rsid w:val="00457D49"/>
    <w:rsid w:val="004B0A80"/>
    <w:rsid w:val="004B256B"/>
    <w:rsid w:val="004C4B16"/>
    <w:rsid w:val="00552D8F"/>
    <w:rsid w:val="00702E5C"/>
    <w:rsid w:val="00760ACA"/>
    <w:rsid w:val="00765D54"/>
    <w:rsid w:val="007B7A3A"/>
    <w:rsid w:val="00865A3F"/>
    <w:rsid w:val="00897642"/>
    <w:rsid w:val="00AA1D8D"/>
    <w:rsid w:val="00AB1954"/>
    <w:rsid w:val="00B15C60"/>
    <w:rsid w:val="00B47730"/>
    <w:rsid w:val="00B91CA2"/>
    <w:rsid w:val="00BC1D06"/>
    <w:rsid w:val="00CB0664"/>
    <w:rsid w:val="00D53688"/>
    <w:rsid w:val="00DB1BBD"/>
    <w:rsid w:val="00F852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ED30C0F-0746-4D64-BEE1-BD0DCB27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C5EC4.152AA6F0" TargetMode="External"/><Relationship Id="rId1" Type="http://schemas.openxmlformats.org/officeDocument/2006/relationships/image" Target="media/image1.png"/><Relationship Id="rId4" Type="http://schemas.openxmlformats.org/officeDocument/2006/relationships/image" Target="cid:image002.png@01DC5EC4.152AA6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FB79A04D48D442A64339271F87DE86" ma:contentTypeVersion="18" ma:contentTypeDescription="Een nieuw document maken." ma:contentTypeScope="" ma:versionID="2f84118f44f8995ececd8e4325da3adb">
  <xsd:schema xmlns:xsd="http://www.w3.org/2001/XMLSchema" xmlns:xs="http://www.w3.org/2001/XMLSchema" xmlns:p="http://schemas.microsoft.com/office/2006/metadata/properties" xmlns:ns2="4f21234e-a48e-400f-982d-83ffcc6d6b1c" xmlns:ns3="ffc61f80-ed85-4c85-91df-82ba572cc5c7" targetNamespace="http://schemas.microsoft.com/office/2006/metadata/properties" ma:root="true" ma:fieldsID="02795255e36f11af6a31247d660df5e7" ns2:_="" ns3:_="">
    <xsd:import namespace="4f21234e-a48e-400f-982d-83ffcc6d6b1c"/>
    <xsd:import namespace="ffc61f80-ed85-4c85-91df-82ba572cc5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1234e-a48e-400f-982d-83ffcc6d6b1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f5c2ccc-8f5a-4353-9e36-b6f15af0c423}" ma:internalName="TaxCatchAll" ma:showField="CatchAllData" ma:web="4f21234e-a48e-400f-982d-83ffcc6d6b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61f80-ed85-4c85-91df-82ba572cc5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8b3803e-4712-429b-97c1-0454f87487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c61f80-ed85-4c85-91df-82ba572cc5c7">
      <Terms xmlns="http://schemas.microsoft.com/office/infopath/2007/PartnerControls"/>
    </lcf76f155ced4ddcb4097134ff3c332f>
    <TaxCatchAll xmlns="4f21234e-a48e-400f-982d-83ffcc6d6b1c" xsi:nil="true"/>
  </documentManagement>
</p:properties>
</file>

<file path=customXml/itemProps1.xml><?xml version="1.0" encoding="utf-8"?>
<ds:datastoreItem xmlns:ds="http://schemas.openxmlformats.org/officeDocument/2006/customXml" ds:itemID="{D43EFF94-2D12-48E7-B337-6D35D2F703F2}">
  <ds:schemaRefs>
    <ds:schemaRef ds:uri="http://schemas.microsoft.com/sharepoint/v3/contenttype/forms"/>
  </ds:schemaRefs>
</ds:datastoreItem>
</file>

<file path=customXml/itemProps2.xml><?xml version="1.0" encoding="utf-8"?>
<ds:datastoreItem xmlns:ds="http://schemas.openxmlformats.org/officeDocument/2006/customXml" ds:itemID="{C5405618-A77B-4E0C-8A27-00F03914312F}"/>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0E5180DA-62C4-42E8-9D3D-97066CFFF453}">
  <ds:schemaRefs>
    <ds:schemaRef ds:uri="http://schemas.microsoft.com/office/2006/metadata/properties"/>
    <ds:schemaRef ds:uri="http://schemas.microsoft.com/office/infopath/2007/PartnerControls"/>
    <ds:schemaRef ds:uri="ffc61f80-ed85-4c85-91df-82ba572cc5c7"/>
    <ds:schemaRef ds:uri="4f21234e-a48e-400f-982d-83ffcc6d6b1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1853</Words>
  <Characters>10195</Characters>
  <Application>Microsoft Office Word</Application>
  <DocSecurity>0</DocSecurity>
  <Lines>84</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Irma Groen</cp:lastModifiedBy>
  <cp:revision>6</cp:revision>
  <dcterms:created xsi:type="dcterms:W3CDTF">2025-11-26T11:15:00Z</dcterms:created>
  <dcterms:modified xsi:type="dcterms:W3CDTF">2025-11-26T15:15:00Z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5af892-3110-4710-9917-9efa7f889300_Enabled">
    <vt:lpwstr>true</vt:lpwstr>
  </property>
  <property fmtid="{D5CDD505-2E9C-101B-9397-08002B2CF9AE}" pid="3" name="MSIP_Label_d95af892-3110-4710-9917-9efa7f889300_SetDate">
    <vt:lpwstr>2025-11-19T14:11:59Z</vt:lpwstr>
  </property>
  <property fmtid="{D5CDD505-2E9C-101B-9397-08002B2CF9AE}" pid="4" name="MSIP_Label_d95af892-3110-4710-9917-9efa7f889300_Method">
    <vt:lpwstr>Privileged</vt:lpwstr>
  </property>
  <property fmtid="{D5CDD505-2E9C-101B-9397-08002B2CF9AE}" pid="5" name="MSIP_Label_d95af892-3110-4710-9917-9efa7f889300_Name">
    <vt:lpwstr>Niet vertrouwelijk</vt:lpwstr>
  </property>
  <property fmtid="{D5CDD505-2E9C-101B-9397-08002B2CF9AE}" pid="6" name="MSIP_Label_d95af892-3110-4710-9917-9efa7f889300_SiteId">
    <vt:lpwstr>309c13f1-6cdd-41d3-8d5c-228746fe569b</vt:lpwstr>
  </property>
  <property fmtid="{D5CDD505-2E9C-101B-9397-08002B2CF9AE}" pid="7" name="MSIP_Label_d95af892-3110-4710-9917-9efa7f889300_ActionId">
    <vt:lpwstr>24142aef-15a5-4a12-bbe8-576af065f8fc</vt:lpwstr>
  </property>
  <property fmtid="{D5CDD505-2E9C-101B-9397-08002B2CF9AE}" pid="8" name="MSIP_Label_d95af892-3110-4710-9917-9efa7f889300_ContentBits">
    <vt:lpwstr>0</vt:lpwstr>
  </property>
  <property fmtid="{D5CDD505-2E9C-101B-9397-08002B2CF9AE}" pid="9" name="MSIP_Label_d95af892-3110-4710-9917-9efa7f889300_Tag">
    <vt:lpwstr>10, 0, 1, 1</vt:lpwstr>
  </property>
  <property fmtid="{D5CDD505-2E9C-101B-9397-08002B2CF9AE}" pid="10" name="ContentTypeId">
    <vt:lpwstr>0x01010077FB79A04D48D442A64339271F87DE86</vt:lpwstr>
  </property>
  <property fmtid="{D5CDD505-2E9C-101B-9397-08002B2CF9AE}" pid="11" name="MediaServiceImageTags">
    <vt:lpwstr/>
  </property>
</Properties>
</file>